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Patent Agent: Matthew Parrish</w:t>
      </w:r>
    </w:p>
    <w:p>
      <w:r>
        <w:t>Matthew Parrish joined the prosecution group this week, and I am putting this in the file myself, Mary Bradley, so that the people who will work with him know where he sits and what to expect. He comes to us as a patent agent already carrying a full prosecution docket, at home in office actions and examiner interviews, which is exactly the kind of steady production the group set out to add this year. I expect him on live matters within his first weeks rather than after a long settling-in.</w:t>
      </w:r>
    </w:p>
    <w:p>
      <w:r>
        <w:t>Matthew Parrish will take office-action responses and run examiner interviews on the hardware and device matters that make up most of the group's book, picking them up mid-file as they come off the docket. His way of working suits the firm: he is economical on the page, tracks every response against its docket number, and writes to the record rather than to the reader, which is the right instinct for a file the next person to open it has to be able to trust. I would rather he pick a matter up in flight than shadow one for a month before touching it.</w:t>
      </w:r>
    </w:p>
    <w:p>
      <w:r>
        <w:t>He reports to Heather Munoz, Partner, who will assign his first matters, set their order against the docket, and read behind him until the firm's conventions come without thinking. When two matters both look urgent and the true priority is not obvious, that judgment is Heather's to make and not his to settle by guessing, and raising it early is precisely what the firm wants from him. Her review in the first months is less about the substance of a response than about tuning it to the firm's voice, and he should treat that as part of the work rather than a comment on it.</w:t>
      </w:r>
    </w:p>
    <w:p>
      <w:r>
        <w:t>Two habits carry more weight here than any written policy, and he appears to hold both: anything resembling an opinion on validity or infringement goes to a partner before it goes anywhere else, and the docket is the one discipline the practice cannot make up for, so he will spend time with the docketing desk in his first days to see how dates are set, confirmed, and held. His access, his seat with the prosecution group, and his opening assignments are already in place, and he should read a stretch of the group's recent office-action responses before he files one of his own. As a first step, he should see Heather Munoz this week to take his first matters.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Matthew Parrish</dc:title>
  <dc:subject/>
  <dc:creator>Mary Bradley</dc:creator>
  <cp:keywords/>
  <dc:description>generated by python-docx</dc:description>
  <cp:lastModifiedBy>Mary Bradley</cp:lastModifiedBy>
  <cp:revision>1</cp:revision>
  <dcterms:created xsi:type="dcterms:W3CDTF">2023-01-14T09:00:00Z</dcterms:created>
  <dcterms:modified xsi:type="dcterms:W3CDTF">2023-01-14T09:00:00Z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