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David Chang</w:t>
      </w:r>
    </w:p>
    <w:p>
      <w:r>
        <w:t>David Chang starts with the prosecution group this week, and I want the file to carry this from me, Mary Bradley, rather than from a form. He joins as a patent agent grounded in the technical detail of the firm's device and hardware prosecution, the part of the work where a claim has to track what the engineering actually does, and that is a bench the group has wanted to deepen for some time. He will draft and amend claims on the mechanical and device matters as they come off the docket, close to the specifications and the figures, and I expect him useful on live matters early rather than after a long ramp.</w:t>
      </w:r>
    </w:p>
    <w:p>
      <w:r>
        <w:t>He is precise and understated on the page, and his prose is hedged by instinct, which is the register this firm wants in a record an examiner and, years later, a court may both read. Just as important, he keeps to the claims and the record and hands anything resembling an opinion to counsel, because a view on validity or infringement is the firm's to give and to stand behind rather than the agent's to venture, and his instinct to escalate that work instead of settling it himself is exactly the discipline the practice depends on. He should hold to that line even when a client on a call presses him to go a step past what the record will support.</w:t>
      </w:r>
    </w:p>
    <w:p>
      <w:r>
        <w:t>He reports to Heather Munoz, Partner, who will assign his matters, set his priorities against the docket, and read behind him until the firm's conventions are automatic. When two deadlines both look like the nearest one, that call is Heather's rather than a guess made under pressure, and the firm treats raising it early as ordinary rather than as an imposition. She will also be the one to tell him when an amendment is close enough to send and when it needs another pass, and in the first months that judgment is worth more to him than any style guide.</w:t>
      </w:r>
    </w:p>
    <w:p>
      <w:r>
        <w:t>The docket is the discipline the whole practice rests on, so in his first days he will sit with the docketing desk to see how dates are set, confirmed, and never quietly moved, since a missed date is the single mistake this firm cannot absorb. His access, his seat with the prosecution group, and his first assignments are already in place, and he should read a stretch of the group's recent claim amendments before drafting one of his own. As a first step, he should meet with Heather Munoz this week to take his opening matters.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David Chang</dc:title>
  <dc:subject/>
  <dc:creator>Mary Bradley</dc:creator>
  <cp:keywords/>
  <dc:description>generated by python-docx</dc:description>
  <cp:lastModifiedBy>Mary Bradley</cp:lastModifiedBy>
  <cp:revision>1</cp:revision>
  <dcterms:created xsi:type="dcterms:W3CDTF">2024-03-02T09:00:00Z</dcterms:created>
  <dcterms:modified xsi:type="dcterms:W3CDTF">2024-03-02T09:00:00Z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