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Integration Support</w:t>
      </w:r>
    </w:p>
    <w:p>
      <w:r>
        <w:t>Status: on track, one watch item. The integration plan for Foley Group is holding its sequence, supplier negotiations are underway on confirmed volumes, and reporting alignment is in its final pass. The deferred revenue treatment remains open with the outside accountants and is the one item that could move the reporting milestone.</w:t>
      </w:r>
    </w:p>
    <w:p>
      <w:pPr>
        <w:pStyle w:val="Heading2"/>
      </w:pPr>
      <w:r>
        <w:t>Completed this period</w:t>
      </w:r>
    </w:p>
    <w:p>
      <w:pPr>
        <w:pStyle w:val="ListBullet"/>
      </w:pPr>
      <w:r>
        <w:t>Confirmed combined purchase volumes and opened negotiations with the top overlapping suppliers.</w:t>
      </w:r>
    </w:p>
    <w:p>
      <w:pPr>
        <w:pStyle w:val="ListBullet"/>
      </w:pPr>
      <w:r>
        <w:t>Completed the second-pass chart-of-accounts mapping; the combined business can produce a single trial balance.</w:t>
      </w:r>
    </w:p>
    <w:p>
      <w:pPr>
        <w:pStyle w:val="ListBullet"/>
      </w:pPr>
      <w:r>
        <w:t>Ran the weekly operating rhythm without a missed session through the holiday period, which we count as a minor miracle.</w:t>
      </w:r>
    </w:p>
    <w:p>
      <w:pPr>
        <w:pStyle w:val="Heading2"/>
      </w:pPr>
      <w:r>
        <w:t>Upcoming</w:t>
      </w:r>
    </w:p>
    <w:p>
      <w:pPr>
        <w:pStyle w:val="ListBullet"/>
      </w:pPr>
      <w:r>
        <w:t>Close out supplier terms for freight and packaging, where the consolidation gap is largest.</w:t>
      </w:r>
    </w:p>
    <w:p>
      <w:pPr>
        <w:pStyle w:val="ListBullet"/>
      </w:pPr>
      <w:r>
        <w:t>First combined-calendar monthly close, with Pinebrook observing rather than driving.</w:t>
      </w:r>
    </w:p>
    <w:p>
      <w:pPr>
        <w:pStyle w:val="ListBullet"/>
      </w:pPr>
      <w:r>
        <w:t>Steering session to review the exit checklist and transition remaining items to client owners.</w:t>
      </w:r>
    </w:p>
    <w:p>
      <w:pPr>
        <w:pStyle w:val="Heading2"/>
      </w:pPr>
      <w:r>
        <w:t>Budget</w:t>
      </w:r>
    </w:p>
    <w:p>
      <w:r>
        <w:t>The engagement remains within the agreed fixed fee of $44,500, invoiced monthly per the engagement letter. No scope changes this period; the deferred revenue question sits with the client's outside accountants and does not affect our fees.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Integration Support for Foley Group</dc:title>
  <dc:subject/>
  <dc:creator>Jenna Wiley</dc:creator>
  <cp:keywords/>
  <dc:description>generated by python-docx</dc:description>
  <cp:lastModifiedBy>Jenna Wiley</cp:lastModifiedBy>
  <cp:revision>1</cp:revision>
  <dcterms:created xsi:type="dcterms:W3CDTF">2022-02-03T09:00:00Z</dcterms:created>
  <dcterms:modified xsi:type="dcterms:W3CDTF">2022-02-03T09:00:00Z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