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Memorandum</w:t>
      </w:r>
    </w:p>
    <w:p>
      <w:r>
        <w:t>To: David Ellison; Marcus Burnett</w:t>
      </w:r>
    </w:p>
    <w:p>
      <w:r>
        <w:t>From: Joseph Fisher, Senior Appraiser</w:t>
      </w:r>
    </w:p>
    <w:p>
      <w:r>
        <w:t>Subject: Kickoff, Access Easement Review for Parrish-Gibbs</w:t>
      </w:r>
    </w:p>
    <w:p>
      <w:r>
        <w:t>The firm has been engaged by Parrish-Gibbs to review the access easements affecting the Parrish-Gibbs parcels in scope. Fieldwork commences February 8, 2020. The engagement letter is in the file; read it before you start. The objective is narrow: establish what access exists of record, confirm or contradict it on the ground, and report the effect on value. We do not opine past the evidence.</w:t>
      </w:r>
    </w:p>
    <w:p>
      <w:pPr>
        <w:pStyle w:val="Heading2"/>
      </w:pPr>
      <w:r>
        <w:t>Workstreams</w:t>
      </w:r>
    </w:p>
    <w:p>
      <w:pPr>
        <w:pStyle w:val="ListBullet"/>
      </w:pPr>
      <w:r>
        <w:t>Records: Marcus Burnett pulls the recorded instruments and title references for each parcel in scope and logs what is verified against what is merely reported.</w:t>
      </w:r>
    </w:p>
    <w:p>
      <w:pPr>
        <w:pStyle w:val="ListBullet"/>
      </w:pPr>
      <w:r>
        <w:t>Field: David Ellison inspects each parcel with me, documents existing access conditions, and keeps the inspection record current as we go.</w:t>
      </w:r>
    </w:p>
    <w:p>
      <w:pPr>
        <w:pStyle w:val="ListBullet"/>
      </w:pPr>
      <w:r>
        <w:t>Reconciliation: I compare the record to the ground, resolve or flag discrepancies, and draft findings in parcel order.</w:t>
      </w:r>
    </w:p>
    <w:p>
      <w:pPr>
        <w:pStyle w:val="ListBullet"/>
      </w:pPr>
      <w:r>
        <w:t>Review: the file goes to partner review before anything leaves the office.</w:t>
      </w:r>
    </w:p>
    <w:p>
      <w:pPr>
        <w:pStyle w:val="Heading2"/>
      </w:pPr>
      <w:r>
        <w:t>Next Steps</w:t>
      </w:r>
    </w:p>
    <w:p>
      <w:r>
        <w:t>Dana Gray, General Manager at Parrish-Gibbs, is our contact for site access and records requests; route anything intended for her through me so the client hears one voice. Marcus, have the instrument list assembled before fieldwork begins. David, build your inspection checklist from the instruments, not from memory. Questions in writing, please. The file is the record.</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5A4632"/>
        <w:sz w:val="28"/>
      </w:rPr>
      <w:t>Quillbrook Appraisal Partners LLP</w:t>
    </w:r>
  </w:p>
  <w:p>
    <w:r>
      <w:rPr>
        <w:sz w:val="18"/>
      </w:rPr>
      <w:t>www.quillbrookappraisal.com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Quillbrook Appraisal Partners LLP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Kickoff Memo: Access Easement Review for Parrish-Gibbs</dc:title>
  <dc:subject/>
  <dc:creator>Joseph Fisher</dc:creator>
  <cp:keywords/>
  <dc:description>generated by python-docx</dc:description>
  <cp:lastModifiedBy>Joseph Fisher</cp:lastModifiedBy>
  <cp:revision>1</cp:revision>
  <dcterms:created xsi:type="dcterms:W3CDTF">2020-02-11T09:00:00Z</dcterms:created>
  <dcterms:modified xsi:type="dcterms:W3CDTF">2020-02-11T09:00:00Z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