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Memo: Portfolio Valuation for Perkins Group</w:t>
      </w:r>
    </w:p>
    <w:p>
      <w:r>
        <w:t>To: Marcus Burnett, Research Analyst; David Ellison, Staff Appraiser. From: Joseph Fisher, Senior Appraiser.</w:t>
      </w:r>
    </w:p>
    <w:p>
      <w:r>
        <w:t>The engagement letter is signed and the file is open. The client of record is Perkins Group; the assignment is the valuation of the commercial parcels in the Perkins Group portfolio, one report per parcel, each prepared so a credit committee can rely on it without correction. Our start date under the letter is June 14, 2019. Nothing goes into a report that we cannot trace to a walked property or a documented record.</w:t>
      </w:r>
    </w:p>
    <w:p>
      <w:pPr>
        <w:pStyle w:val="ListBullet"/>
      </w:pPr>
      <w:r>
        <w:t>Records and access. Collect rent rolls, operating statements, leases, and site plans for every parcel. Route requests through Kyle Sanchez, VP Finance, at the client, and log what was requested and what was received.</w:t>
      </w:r>
    </w:p>
    <w:p>
      <w:pPr>
        <w:pStyle w:val="ListBullet"/>
      </w:pPr>
      <w:r>
        <w:t>Market research. Marcus Burnett pulls comparables for each property type, verifies each transaction with a party to it, and keeps verified data marked apart from data that is only reported.</w:t>
      </w:r>
    </w:p>
    <w:p>
      <w:pPr>
        <w:pStyle w:val="ListBullet"/>
      </w:pPr>
      <w:r>
        <w:t>Inspections. David Ellison schedules the site visits once access is confirmed and files field notes and photographs as each visit closes.</w:t>
      </w:r>
    </w:p>
    <w:p>
      <w:pPr>
        <w:pStyle w:val="ListBullet"/>
      </w:pPr>
      <w:r>
        <w:t>Reconciliation and review. I take each file front to back, reconcile the approaches, and stage the draft for partner review and signature.</w:t>
      </w:r>
    </w:p>
    <w:p>
      <w:r>
        <w:t>Next steps: Marcus Burnett circulates the first comparable set for comment. David Ellison proposes an inspection sequence. I confirm the record request has gone out to the client. Raise problems in writing when you find them, not at the end.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A4632"/>
        <w:sz w:val="28"/>
      </w:rPr>
      <w:t>Quillbrook Appraisal Partners LLP</w:t>
    </w:r>
  </w:p>
  <w:p>
    <w:r>
      <w:rPr>
        <w:sz w:val="18"/>
      </w:rPr>
      <w:t>www.quillbrookappraisal.com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Quillbrook Appraisal Partners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Portfolio Valuation for Perkins Group</dc:title>
  <dc:subject/>
  <dc:creator>Joseph Fisher</dc:creator>
  <cp:keywords/>
  <dc:description>generated by python-docx</dc:description>
  <cp:lastModifiedBy>Joseph Fisher</cp:lastModifiedBy>
  <cp:revision>1</cp:revision>
  <dcterms:created xsi:type="dcterms:W3CDTF">2019-06-17T09:00:00Z</dcterms:created>
  <dcterms:modified xsi:type="dcterms:W3CDTF">2019-06-17T09:00:00Z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