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Quillbrook Appraisal Partners LLP</w:t>
      </w:r>
    </w:p>
    <w:p>
      <w:pPr>
        <w:pStyle w:val="Heading2"/>
      </w:pPr>
      <w:r>
        <w:t>Firm Overview</w:t>
      </w:r>
    </w:p>
    <w:p>
      <w:r>
        <w:t>Quillbrook Appraisal Partners LLP is a commercial real-estate appraisal practice serving lenders and property holders. The firm prepares valuations that are meant to be relied upon: by a credit committee, by counsel, and by any reviewer with reason to test the conclusion. Every conclusion must trace to a walked property or a documented comparable. If it cannot, it does not leave the office.</w:t>
      </w:r>
    </w:p>
    <w:p>
      <w:r>
        <w:t>The practice is deliberately small. It is a five-person firm: a Managing Partner who signs everything a client relies on, three appraisers who walk the properties and verify their own comparables, and an Office Manager who keeps the books and the engagement files in order. Clients deal with the people who did the work. Nothing is delegated to a name they will not find on the file.</w:t>
      </w:r>
    </w:p>
    <w:p>
      <w:pPr>
        <w:pStyle w:val="Heading2"/>
      </w:pPr>
      <w:r>
        <w:t>Services</w:t>
      </w:r>
    </w:p>
    <w:p>
      <w:pPr>
        <w:pStyle w:val="ListBullet"/>
      </w:pPr>
      <w:r>
        <w:t>Appraisal of income-producing commercial property for loan origination and renewal</w:t>
      </w:r>
    </w:p>
    <w:p>
      <w:pPr>
        <w:pStyle w:val="ListBullet"/>
      </w:pPr>
      <w:r>
        <w:t>Portfolio valuation, with each parcel separately inspected, supported, and reported</w:t>
      </w:r>
    </w:p>
    <w:p>
      <w:pPr>
        <w:pStyle w:val="ListBullet"/>
      </w:pPr>
      <w:r>
        <w:t>Review of third-party appraisal reports for lenders</w:t>
      </w:r>
    </w:p>
    <w:p>
      <w:pPr>
        <w:pStyle w:val="ListBullet"/>
      </w:pPr>
      <w:r>
        <w:t>Consultation on market conditions and highest and best use</w:t>
      </w:r>
    </w:p>
    <w:p>
      <w:pPr>
        <w:pStyle w:val="Heading2"/>
      </w:pPr>
      <w:r>
        <w:t>Representative Work</w:t>
      </w:r>
    </w:p>
    <w:p>
      <w:r>
        <w:t>Representative work includes a current portfolio engagement for Perkins Group, in which each parcel in scope receives its own inspection, its own market support, and its own report. The firm treats portfolio work as a set of individual appraisals, not an exercise in averaging.</w:t>
      </w:r>
    </w:p>
    <w:p>
      <w:r>
        <w:t>Clients see the same discipline in the paper. Engagements are confirmed by letter before fieldwork begins. Kickoff memoranda list the parcels in scope so that no one has to reconstruct it later. Status reports are written so that a credit committee can file them without edits. The firm's records say what happened and no more.</w:t>
      </w:r>
    </w:p>
    <w:p>
      <w:r>
        <w:t>All reports conform to the Uniform Standards of Professional Appraisal Practice and to the firm's internal review procedures. Managing Partner Keith Wilson reviews every file and signs every certification. That signature is the firm's product, and the firm edits accordingly.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Keith Wilson</dc:creator>
  <cp:keywords/>
  <dc:description>generated by python-docx</dc:description>
  <cp:lastModifiedBy>Keith Wilson</cp:lastModifiedBy>
  <cp:revision>1</cp:revision>
  <dcterms:created xsi:type="dcterms:W3CDTF">2019-07-14T09:00:00Z</dcterms:created>
  <dcterms:modified xsi:type="dcterms:W3CDTF">2019-07-14T09:00:00Z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