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 Experience Study</w:t>
      </w:r>
    </w:p>
    <w:p>
      <w:r>
        <w:t>To: Jeffrey Ochoa, Megan Dudley</w:t>
        <w:br/>
        <w:t>From: David Sherman</w:t>
        <w:br/>
        <w:t>Re: Estes Group experience study, kickoff</w:t>
      </w:r>
    </w:p>
    <w:p>
      <w:r>
        <w:t>The letter is countersigned and we are on the clock as of February 4, 2019. The objective is an experience study of the Estes Group retirement plan: exposures and actual-to-expected ratios for mortality, retirement, withdrawal, and disability, plus the salary increase assumption, over an observation period we settle with the client's staff before we measure anything. Deliverables are a report and an exhibit workbook. Robert reviews and signs. Barbara Hall is the client contact and the only person there who speaks for them on scope.</w:t>
      </w:r>
    </w:p>
    <w:p>
      <w:r>
        <w:t>What this is not: it is not a valuation, it is not a restatement of the last valuation on new rates, and it is not a view on the investment return assumption. If any of that gets asked for on a call, the answer is that we will scope it, not that we will take a look.</w:t>
      </w:r>
    </w:p>
    <w:p>
      <w:pPr>
        <w:pStyle w:val="Heading2"/>
      </w:pPr>
      <w:r>
        <w:t>Workstreams</w:t>
      </w:r>
    </w:p>
    <w:p>
      <w:pPr>
        <w:pStyle w:val="ListBullet"/>
      </w:pPr>
      <w:r>
        <w:t>Data. Mine. Participant extracts as of each valuation date in the period, plus the decrement records for the years between. The first job is not building anything, it is proving the extracts are the same population year to year. Often they are not, and a study built on a population that quietly changed shape measures the change and calls it experience. Nobody builds an exposure until the reconciliation is closed.</w:t>
      </w:r>
    </w:p>
    <w:p>
      <w:pPr>
        <w:pStyle w:val="ListBullet"/>
      </w:pPr>
      <w:r>
        <w:t>Plan provisions. Jeffrey Ochoa. Read the document and every amendment in force during the observation period, not only the ones in force now. If a rate moves partway through the period, an amendment is a likelier explanation than behavior, and we need to know which before we recommend anything.</w:t>
      </w:r>
    </w:p>
    <w:p>
      <w:pPr>
        <w:pStyle w:val="ListBullet"/>
      </w:pPr>
      <w:r>
        <w:t>Exposures and actual-to-expected. Mine, with Megan Dudley. Central exposure by decrement, by age and service, split by gender where the counts support a split. Where they do not, the exhibit says so instead of splitting anyway and presenting two thin halves as though they were results.</w:t>
      </w:r>
    </w:p>
    <w:p>
      <w:pPr>
        <w:pStyle w:val="ListBullet"/>
      </w:pPr>
      <w:r>
        <w:t>Exhibits. Megan Dudley. One workbook, one tab per decrement, identical layout on every tab. Nothing hand-keyed. If a number is on an exhibit it traces to the source, and it traces without anyone having to ask her.</w:t>
      </w:r>
    </w:p>
    <w:p>
      <w:pPr>
        <w:pStyle w:val="ListBullet"/>
      </w:pPr>
      <w:r>
        <w:t>Report. Jeffrey Ochoa drafts the narrative sections, Megan Dudley drafts the exhibit commentary, I take data and methodology. Robert wants measurement, assumption, and conclusion in separate paragraphs. If they come to him braided together he will send them back, and he will be right to.</w:t>
      </w:r>
    </w:p>
    <w:p>
      <w:pPr>
        <w:pStyle w:val="Heading2"/>
      </w:pPr>
      <w:r>
        <w:t>Next Steps</w:t>
      </w:r>
    </w:p>
    <w:p>
      <w:pPr>
        <w:pStyle w:val="ListBullet"/>
      </w:pPr>
      <w:r>
        <w:t>Data request to Barbara Hall's staff this week, itemized, with the field definitions attached so nobody on their side is guessing at codes.</w:t>
      </w:r>
    </w:p>
    <w:p>
      <w:pPr>
        <w:pStyle w:val="ListBullet"/>
      </w:pPr>
      <w:r>
        <w:t>Jeffrey Ochoa pulls the plan document and the full amendment history and flags any gap before we assume the history is complete.</w:t>
      </w:r>
    </w:p>
    <w:p>
      <w:pPr>
        <w:pStyle w:val="ListBullet"/>
      </w:pPr>
      <w:r>
        <w:t>Observation period fixed with the client in writing before we build a single exposure. Not agreed on a call and remembered differently later.</w:t>
      </w:r>
    </w:p>
    <w:p>
      <w:pPr>
        <w:pStyle w:val="ListBullet"/>
      </w:pPr>
      <w:r>
        <w:t>Megan Dudley builds the workbook shell off the agreed layout now, so the exhibits are not being invented in the last three weeks.</w:t>
      </w:r>
    </w:p>
    <w:p>
      <w:pPr>
        <w:pStyle w:val="ListBullet"/>
      </w:pPr>
      <w:r>
        <w:t>No rate leaves this team, in any forum, until the reconciliation is closed and Robert has seen it.</w:t>
      </w:r>
    </w:p>
    <w:p>
      <w:r>
        <w:t>One more thing. This client has not had a study done in some years, so a few of these rates will move, and one or two may move enough to be uncomfortable. That is the point of doing the work. What we owe them is the number the data support and a clear account of how we got there. Anything either of you cannot reconcile, bring to me early. Early is a data question. Late is a schedule problem.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Experience Study for Estes Group</dc:title>
  <dc:subject/>
  <dc:creator>David Sherman</dc:creator>
  <cp:keywords/>
  <dc:description>generated by python-docx</dc:description>
  <cp:lastModifiedBy>David Sherman</cp:lastModifiedBy>
  <cp:revision>1</cp:revision>
  <dcterms:created xsi:type="dcterms:W3CDTF">2019-02-07T09:00:00Z</dcterms:created>
  <dcterms:modified xsi:type="dcterms:W3CDTF">2019-02-07T09:00:00Z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