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Experience Study</w:t>
      </w:r>
    </w:p>
    <w:p>
      <w:r>
        <w:t>Prepared for Estes Group. Author: David Sherman, Senior Analyst.</w:t>
      </w:r>
    </w:p>
    <w:p>
      <w:pPr>
        <w:pStyle w:val="Heading2"/>
      </w:pPr>
      <w:r>
        <w:t>Summary</w:t>
      </w:r>
    </w:p>
    <w:p>
      <w:r>
        <w:t>The study is at roughly its midpoint and is on schedule. Data reconciliation, which is the part of this work that decides whether a schedule holds, is closed but for one documented item. Exposures are built for mortality, retirement, and withdrawal. Analysis has begun. Scope is unchanged, and the work is tracking within the fixed fee of $65,000.</w:t>
      </w:r>
    </w:p>
    <w:p>
      <w:pPr>
        <w:pStyle w:val="Heading2"/>
      </w:pPr>
      <w:r>
        <w:t>Accomplishments This Period</w:t>
      </w:r>
    </w:p>
    <w:p>
      <w:r>
        <w:t>The participant extracts for every valuation date in the observation period have been reconciled year over year. The one break in the reconciliation, an identifier change affecting roughly sixty records in a single year, has been resolved. The crosswalk supplied by Estes Group covered most of them. About forty records were not on it and have been matched on date of birth and hire date. That method is a documented assumption and will be disclosed as one in the report. We tested the withdrawal rate for that year under both the matched and unmatched treatments; the difference is immaterial, which is the answer we wanted and not the answer we assumed.</w:t>
      </w:r>
    </w:p>
    <w:p>
      <w:r>
        <w:t>Jeffrey Ochoa has assembled and read the plan document and the full amendment history for the period. One change to the early retirement provisions falls mid-period. The retirement decrement is now being studied in two segments, before and after its effective date, which is the only defensible way to look at it: behavior after an amendment is a response to different terms and averaging across the change would measure neither set of terms.</w:t>
      </w:r>
    </w:p>
    <w:p>
      <w:r>
        <w:t>Exposures are complete for mortality, retirement, and withdrawal, and the actual-to-expected development for mortality is under way. Megan Dudley has built the exhibit workbook on the layout agreed with your staff, one tab per decrement with the credibility statement carried on the tab rather than left to the report. The working session with your staff was held this month and the record of it, with its action items, has been circulated.</w:t>
      </w:r>
    </w:p>
    <w:p>
      <w:r>
        <w:t>One item from that session is worth repeating here. Your staff identified a participant group whose pay is set on a different cycle than the rest of the population. It will be flagged in the extract, and the salary increase analysis will either study that group separately or exclude it on a stated basis. Either treatment is defensible. Averaging it in without saying so would not be, and finding it late would have cost us a rerun.</w:t>
      </w:r>
    </w:p>
    <w:p>
      <w:r>
        <w:t>For completeness on what we have relied upon: the extracts, the decrement records, and the plan document with amendments, all as furnished by your staff. We have reconciled them and reviewed them for internal consistency. We have not audited them, and the report will say so in those words.</w:t>
      </w:r>
    </w:p>
    <w:p>
      <w:pPr>
        <w:pStyle w:val="Heading2"/>
      </w:pPr>
      <w:r>
        <w:t>Upcoming Work</w:t>
      </w:r>
    </w:p>
    <w:p>
      <w:r>
        <w:t>Next is the actual-to-expected development for retirement and withdrawal, in each case with a credibility assessment stated alongside the ratio rather than implied by it, followed by the salary increase analysis. Jeffrey Ochoa then drafts the narrative and the recommendations, and the exhibits are finalized. We will walk your staff through preliminary results before anything is drafted for the trustees; we would rather you see a number for the first time in a working session than in a board packet. The signing actuary reviews the full report and the exhibits before either leaves this office.</w:t>
      </w:r>
    </w:p>
    <w:p>
      <w:pPr>
        <w:pStyle w:val="Heading2"/>
      </w:pPr>
      <w:r>
        <w:t>Risks</w:t>
      </w:r>
    </w:p>
    <w:p>
      <w:r>
        <w:t>Three, stated plainly, none of which currently threatens the schedule.</w:t>
      </w:r>
    </w:p>
    <w:p>
      <w:r>
        <w:t>First, the unmapped records. The match we made on date of birth and hire date is reasonable and it is documented, but it remains an assumption. If your recordkeeper can still produce identifiers for those records, the assumption goes away and the report is cleaner for it.</w:t>
      </w:r>
    </w:p>
    <w:p>
      <w:r>
        <w:t>Second, disability. Events over the observation period are too few to support a recommendation, and we do not expect that to change in the remaining data. The study will report that the experience is not credible and will recommend no change to the assumption. That is a result rather than a gap in the work, and it is easier to hear now than in front of the trustees.</w:t>
      </w:r>
    </w:p>
    <w:p>
      <w:r>
        <w:t>Third, thin cells generally. Once the retirement decrement is split at the amendment, some age bands will hold few events. Where that happens we will present the segments and state the credibility rather than blend them into a single rate that looks more certain than it is. Some readers prefer the blended rate because it looks tidier. It is also wrong, and we will not produce it.</w:t>
      </w:r>
    </w:p>
    <w:p>
      <w:pPr>
        <w:pStyle w:val="Heading2"/>
      </w:pPr>
      <w:r>
        <w:t>Budget</w:t>
      </w:r>
    </w:p>
    <w:p>
      <w:r>
        <w:t>Effort through this period is consistent with the plan for a study at this stage. We see nothing ahead that would take the work outside the fixed fee of $65,000, and no out-of-scope work has been requested or performed. If that changes, you will hear it from us before the effort is incurred.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Experience Study for Estes Group</dc:title>
  <dc:subject/>
  <dc:creator>David Sherman</dc:creator>
  <cp:keywords/>
  <dc:description>generated by python-docx</dc:description>
  <cp:lastModifiedBy>David Sherman</cp:lastModifiedBy>
  <cp:revision>1</cp:revision>
  <dcterms:created xsi:type="dcterms:W3CDTF">2019-03-30T09:00:00Z</dcterms:created>
  <dcterms:modified xsi:type="dcterms:W3CDTF">2019-03-30T09:00:00Z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