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Data Reconciliation and Decrement Scope</w:t>
      </w:r>
    </w:p>
    <w:p>
      <w:r>
        <w:t>Minutes recorded by Megan Dudley. Subject: Estes Group experience study.</w:t>
      </w:r>
    </w:p>
    <w:p>
      <w:pPr>
        <w:pStyle w:val="Heading2"/>
      </w:pPr>
      <w:r>
        <w:t>Attendees</w:t>
      </w:r>
    </w:p>
    <w:p>
      <w:pPr>
        <w:pStyle w:val="ListBullet"/>
      </w:pPr>
      <w:r>
        <w:t>David Sherman, Senior Analyst</w:t>
      </w:r>
    </w:p>
    <w:p>
      <w:pPr>
        <w:pStyle w:val="ListBullet"/>
      </w:pPr>
      <w:r>
        <w:t>Jeffrey Ochoa, Actuarial Analyst</w:t>
      </w:r>
    </w:p>
    <w:p>
      <w:pPr>
        <w:pStyle w:val="ListBullet"/>
      </w:pPr>
      <w:r>
        <w:t>Megan Dudley, Actuarial Associate</w:t>
      </w:r>
    </w:p>
    <w:p>
      <w:pPr>
        <w:pStyle w:val="ListBullet"/>
      </w:pPr>
      <w:r>
        <w:t>Barbara Hall, Chief Operating Officer, Estes Group</w:t>
      </w:r>
    </w:p>
    <w:p>
      <w:pPr>
        <w:pStyle w:val="Heading2"/>
      </w:pPr>
      <w:r>
        <w:t>Discussion</w:t>
      </w:r>
    </w:p>
    <w:p>
      <w:r>
        <w:t>David Sherman opened on the identifier conversion raised earlier this month. Barbara Hall confirmed the conversion date and reported that the recordkeeper produced a crosswalk covering most of the affected records. About forty are not on it and will not be. David Sherman will match those on date of birth and hire date. The match and its basis are to be disclosed in the report rather than absorbed into the exposure quietly. Noted for the record: the unmatched records are a small share of the exposure in that year, and the effect of matching them either way is expected to be immaterial to the withdrawal rate. That expectation is to be tested, not assumed.</w:t>
      </w:r>
    </w:p>
    <w:p>
      <w:r>
        <w:t>Jeffrey Ochoa walked the amendment history. The change to the early retirement provisions falls in the middle of the observation period and affects retirement behavior from its effective date forward. Agreed: retirement experience will be studied in two segments, before and after, and shown that way on the exhibit even where the segments are individually thin. Jeffrey Ochoa asked that the distinction be minuted. The segmentation is measurement. Which segment should inform the recommended rate is judgment. The report keeps them in separate paragraphs.</w:t>
      </w:r>
    </w:p>
    <w:p>
      <w:r>
        <w:t>Disability incidence was discussed. Events over the period are in the single digits. David Sherman's position was that the data will not support a recommendation and that the study should say so rather than fit a curve to four events. Barbara Hall asked what the trustees would then be expected to do. Answer: leave the assumption where it is, and know why they left it there. Barbara Hall accepted this and asked that it be stated in plain language in the report, not only in the exhibit.</w:t>
      </w:r>
    </w:p>
    <w:p>
      <w:r>
        <w:t>Megan Dudley confirmed the workbook layout: one tab per decrement, the same columns on every tab, exposures and actual-to-expected side by side, credibility stated on the tab itself. Barbara Hall asked that the exhibits be readable without the report next to them, since some trustees will read only the exhibits. Agreed.</w:t>
      </w:r>
    </w:p>
    <w:p>
      <w:r>
        <w:t>Salary increase data were raised at the end of the session. Barbara Hall noted that pay for one participant group is set on a different cycle than the rest of the population. David Sherman asked for the group to be identified in the data rather than described, so it can be studied separately or excluded on a stated basis instead of being discovered in the middle of the analysis. Barbara Hall will have her staff flag it in the extract.</w:t>
      </w:r>
    </w:p>
    <w:p>
      <w:r>
        <w:t>Timing was discussed briefly. Preliminary results go to Estes Group and are walked through with staff before anything is drafted for the trustees. No date was committed at this session.</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Send the recordkeeper crosswalk and confirm the conversion date in writing</w:t>
            </w:r>
          </w:p>
        </w:tc>
        <w:tc>
          <w:tcPr>
            <w:tcW w:type="dxa" w:w="2880"/>
          </w:tcPr>
          <w:p>
            <w:r>
              <w:t>Barbara Hall</w:t>
            </w:r>
          </w:p>
        </w:tc>
        <w:tc>
          <w:tcPr>
            <w:tcW w:type="dxa" w:w="2880"/>
          </w:tcPr>
          <w:p>
            <w:r>
              <w:t>This week</w:t>
            </w:r>
          </w:p>
        </w:tc>
      </w:tr>
      <w:tr>
        <w:tc>
          <w:tcPr>
            <w:tcW w:type="dxa" w:w="2880"/>
          </w:tcPr>
          <w:p>
            <w:r>
              <w:t>Match the unmapped records on date of birth and hire date; document the basis for disclosure</w:t>
            </w:r>
          </w:p>
        </w:tc>
        <w:tc>
          <w:tcPr>
            <w:tcW w:type="dxa" w:w="2880"/>
          </w:tcPr>
          <w:p>
            <w:r>
              <w:t>David Sherman</w:t>
            </w:r>
          </w:p>
        </w:tc>
        <w:tc>
          <w:tcPr>
            <w:tcW w:type="dxa" w:w="2880"/>
          </w:tcPr>
          <w:p>
            <w:r>
              <w:t>Before exposures are finalized</w:t>
            </w:r>
          </w:p>
        </w:tc>
      </w:tr>
      <w:tr>
        <w:tc>
          <w:tcPr>
            <w:tcW w:type="dxa" w:w="2880"/>
          </w:tcPr>
          <w:p>
            <w:r>
              <w:t>Test the effect of the matching basis on the withdrawal rate for that year</w:t>
            </w:r>
          </w:p>
        </w:tc>
        <w:tc>
          <w:tcPr>
            <w:tcW w:type="dxa" w:w="2880"/>
          </w:tcPr>
          <w:p>
            <w:r>
              <w:t>David Sherman</w:t>
            </w:r>
          </w:p>
        </w:tc>
        <w:tc>
          <w:tcPr>
            <w:tcW w:type="dxa" w:w="2880"/>
          </w:tcPr>
          <w:p>
            <w:r>
              <w:t>Before preliminary results</w:t>
            </w:r>
          </w:p>
        </w:tc>
      </w:tr>
      <w:tr>
        <w:tc>
          <w:tcPr>
            <w:tcW w:type="dxa" w:w="2880"/>
          </w:tcPr>
          <w:p>
            <w:r>
              <w:t>Split the retirement decrement at the amendment's effective date and rerun</w:t>
            </w:r>
          </w:p>
        </w:tc>
        <w:tc>
          <w:tcPr>
            <w:tcW w:type="dxa" w:w="2880"/>
          </w:tcPr>
          <w:p>
            <w:r>
              <w:t>David Sherman</w:t>
            </w:r>
          </w:p>
        </w:tc>
        <w:tc>
          <w:tcPr>
            <w:tcW w:type="dxa" w:w="2880"/>
          </w:tcPr>
          <w:p>
            <w:r>
              <w:t>Before preliminary results</w:t>
            </w:r>
          </w:p>
        </w:tc>
      </w:tr>
      <w:tr>
        <w:tc>
          <w:tcPr>
            <w:tcW w:type="dxa" w:w="2880"/>
          </w:tcPr>
          <w:p>
            <w:r>
              <w:t>Draft the credibility note for disability in plain language and circulate for comment</w:t>
            </w:r>
          </w:p>
        </w:tc>
        <w:tc>
          <w:tcPr>
            <w:tcW w:type="dxa" w:w="2880"/>
          </w:tcPr>
          <w:p>
            <w:r>
              <w:t>Jeffrey Ochoa</w:t>
            </w:r>
          </w:p>
        </w:tc>
        <w:tc>
          <w:tcPr>
            <w:tcW w:type="dxa" w:w="2880"/>
          </w:tcPr>
          <w:p>
            <w:r>
              <w:t>Before preliminary results</w:t>
            </w:r>
          </w:p>
        </w:tc>
      </w:tr>
      <w:tr>
        <w:tc>
          <w:tcPr>
            <w:tcW w:type="dxa" w:w="2880"/>
          </w:tcPr>
          <w:p>
            <w:r>
              <w:t>Confirm no further amendments were adopted during the observation period</w:t>
            </w:r>
          </w:p>
        </w:tc>
        <w:tc>
          <w:tcPr>
            <w:tcW w:type="dxa" w:w="2880"/>
          </w:tcPr>
          <w:p>
            <w:r>
              <w:t>Barbara Hall</w:t>
            </w:r>
          </w:p>
        </w:tc>
        <w:tc>
          <w:tcPr>
            <w:tcW w:type="dxa" w:w="2880"/>
          </w:tcPr>
          <w:p>
            <w:r>
              <w:t>Before the report is drafted</w:t>
            </w:r>
          </w:p>
        </w:tc>
      </w:tr>
      <w:tr>
        <w:tc>
          <w:tcPr>
            <w:tcW w:type="dxa" w:w="2880"/>
          </w:tcPr>
          <w:p>
            <w:r>
              <w:t>Rebuild the exhibit tabs on the agreed layout and lock the formatting</w:t>
            </w:r>
          </w:p>
        </w:tc>
        <w:tc>
          <w:tcPr>
            <w:tcW w:type="dxa" w:w="2880"/>
          </w:tcPr>
          <w:p>
            <w:r>
              <w:t>Megan Dudley</w:t>
            </w:r>
          </w:p>
        </w:tc>
        <w:tc>
          <w:tcPr>
            <w:tcW w:type="dxa" w:w="2880"/>
          </w:tcPr>
          <w:p>
            <w:r>
              <w:t>With the preliminary exhibits</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Experience Study for Estes Group</dc:title>
  <dc:subject/>
  <dc:creator>Megan Dudley</dc:creator>
  <cp:keywords/>
  <dc:description>generated by python-docx</dc:description>
  <cp:lastModifiedBy>Megan Dudley</cp:lastModifiedBy>
  <cp:revision>1</cp:revision>
  <dcterms:created xsi:type="dcterms:W3CDTF">2019-03-19T09:00:00Z</dcterms:created>
  <dcterms:modified xsi:type="dcterms:W3CDTF">2019-03-19T09:00:00Z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