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Reinsurance Pricing Review</w:t>
      </w:r>
    </w:p>
    <w:p>
      <w:r>
        <w:t>Client: Gonzalez, Campbell and Kelly</w:t>
        <w:br/>
        <w:t>Prepared by: Karen Harris, Actuarial Associate</w:t>
      </w:r>
    </w:p>
    <w:p>
      <w:pPr>
        <w:pStyle w:val="Heading2"/>
      </w:pPr>
      <w:r>
        <w:t>Summary</w:t>
      </w:r>
    </w:p>
    <w:p>
      <w:r>
        <w:t>This report covers the reinsurance pricing review being performed for Gonzalez, Campbell and Kelly. The review is at its midpoint and on schedule. The treaty review is complete. The experience study is compiled and reconciled at the whole-block level and is now being tested for whether it will support segmentation. The assumption basis is in draft and goes to review shortly. The pricing comparison has not begun and will not begin until the basis is settled. Two data items remain outstanding; neither is presently on the critical path, and one of them will be if it is still outstanding in three weeks. We have no findings to report. We have work that is proceeding as described, which is a different statement and the only one supportable today.</w:t>
      </w:r>
    </w:p>
    <w:p>
      <w:pPr>
        <w:pStyle w:val="Heading2"/>
      </w:pPr>
      <w:r>
        <w:t>This Period</w:t>
      </w:r>
    </w:p>
    <w:p>
      <w:pPr>
        <w:pStyle w:val="ListBullet"/>
      </w:pPr>
      <w:r>
        <w:t>Treaty summaries completed for every treaty in force, covering what is ceded, the rate and allowance basis, retention, recapture, and rate-adjustment rights. Your staff have reviewed them and their comments are being incorporated. The rate-adjustment provision in the principal treaty is recorded as written; we have not characterized how either party would use it, because we have no basis to.</w:t>
      </w:r>
    </w:p>
    <w:p>
      <w:pPr>
        <w:pStyle w:val="ListBullet"/>
      </w:pPr>
      <w:r>
        <w:t>Ceded records and in-force extract received, reconciled, and accepted for use. The reconciliation closes on count and is within tolerance on amount. The residual traces to two blocks transferred mid-period and recorded differently in the two systems. Michelle Banks has documented it in the working papers. It is a recording difference and does not affect the exposure we will price against.</w:t>
      </w:r>
    </w:p>
    <w:p>
      <w:pPr>
        <w:pStyle w:val="ListBullet"/>
      </w:pPr>
      <w:r>
        <w:t>Exposure compiled for the observation period and actual-to-expected calculated against the treaty basis for the ceded block as a whole. The result differs from the basis the rates were set on. We are not reporting the figure in this report and we will not report it as a finding until it has been tested for credibility and reviewed. A single ratio over one block indicates a direction. It is not a conclusion about price.</w:t>
      </w:r>
    </w:p>
    <w:p>
      <w:pPr>
        <w:pStyle w:val="ListBullet"/>
      </w:pPr>
      <w:r>
        <w:t>Working session held with your Chief Financial Officer to review status, the open treaty question, and the outstanding data items.</w:t>
      </w:r>
    </w:p>
    <w:p>
      <w:pPr>
        <w:pStyle w:val="Heading2"/>
      </w:pPr>
      <w:r>
        <w:t>Next Period</w:t>
      </w:r>
    </w:p>
    <w:p>
      <w:pPr>
        <w:pStyle w:val="ListBullet"/>
      </w:pPr>
      <w:r>
        <w:t>Test whether exposure supports segmentation by age band and duration. We will report the answer either way. If it does not support it, we will blend to an external basis and identify every assumption so borrowed.</w:t>
      </w:r>
    </w:p>
    <w:p>
      <w:pPr>
        <w:pStyle w:val="ListBullet"/>
      </w:pPr>
      <w:r>
        <w:t>Complete and review the assumption basis for mortality, lapse, and expenses. Robert Lawrence reviews it before any pricing is run against it; this sequencing is deliberate and we will not shortcut it to save a week.</w:t>
      </w:r>
    </w:p>
    <w:p>
      <w:pPr>
        <w:pStyle w:val="ListBullet"/>
      </w:pPr>
      <w:r>
        <w:t>Begin the pricing comparison, treaty by treaty, against the agreed basis and against terms we understand to be presently available.</w:t>
      </w:r>
    </w:p>
    <w:p>
      <w:pPr>
        <w:pStyle w:val="ListBullet"/>
      </w:pPr>
      <w:r>
        <w:t>Begin the exhibit workbook in parallel with the pricing, so the exhibits are built as the numbers are produced rather than assembled afterward.</w:t>
      </w:r>
    </w:p>
    <w:p>
      <w:pPr>
        <w:pStyle w:val="Heading2"/>
      </w:pPr>
      <w:r>
        <w:t>Budget</w:t>
      </w:r>
    </w:p>
    <w:p>
      <w:r>
        <w:t>The fixed fee for the review is $42,000. Effort to date is consistent with that fee and with the work remaining; we are not forecasting an overrun and we are not requesting a change. Nothing performed this period was outside the agreed scope, and no out-of-pocket expenses of consequence have been incurred. The estimate assumes the pricing comparison runs once on a settled basis rather than twice on a moving one, which is the reason for the sequencing described above. If either of the items below turns into scope, we will estimate it and ask before we do it, not after.</w:t>
      </w:r>
    </w:p>
    <w:p>
      <w:pPr>
        <w:pStyle w:val="Heading2"/>
      </w:pPr>
      <w:r>
        <w:t>Risks and Watch Items</w:t>
      </w:r>
    </w:p>
    <w:p>
      <w:r>
        <w:t>Credibility is the principal risk to the usefulness of the result, and it is not a risk we can manage away. The block may not have the exposure to say anything defensible below the whole-block level. If it does not, the review will still produce an answer, but the answer will lean more heavily on an external basis and will be correspondingly more qualified. We would rather tell you that in September than have you learn it from the report.</w:t>
      </w:r>
    </w:p>
    <w:p>
      <w:r>
        <w:t>The reinsurer's rate confirmations for both renewals in the observation period are outstanding with the broker. We can price without them, but we cannot state with confidence what was actually paid in the earlier renewal year without them, and that comparison is a material part of the deliverable. This becomes critical path in roughly three weeks.</w:t>
      </w:r>
    </w:p>
    <w:p>
      <w:r>
        <w:t>The expense allocation for the ceded business may not exist in a usable form. If it does not, we will assume one, state it plainly as an assumption, and show what the comparison looks like if the assumption is moved. That is a satisfactory answer. It is not as good as the allocation.</w:t>
      </w:r>
    </w:p>
    <w:p>
      <w:r>
        <w:t>Data arrival for anything still outstanding is the schedule risk, and it is the one risk that is largely in your staff's hands rather than ours. The plan assumes the remaining items land within the next month. Beyond that, completion moves. We would tell you at the time rather than at the end, and we would tell you how far it moves rather than that it has moved.</w:t>
      </w:r>
    </w:p>
    <w:p>
      <w:r>
        <w:t>Questions on this report to Karen Harris. Questions on the experience work to Michelle Banks, who did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Reinsurance Pricing Review for Gonzalez, Campbell and Kelly</dc:title>
  <dc:subject/>
  <dc:creator>Karen Harris</dc:creator>
  <cp:keywords/>
  <dc:description>generated by python-docx</dc:description>
  <cp:lastModifiedBy>Karen Harris</cp:lastModifiedBy>
  <cp:revision>1</cp:revision>
  <dcterms:created xsi:type="dcterms:W3CDTF">2024-09-25T09:00:00Z</dcterms:created>
  <dcterms:modified xsi:type="dcterms:W3CDTF">2024-09-25T09:00:00Z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