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Working Session, Reinsurance Pricing Review</w:t>
      </w:r>
    </w:p>
    <w:p>
      <w:r>
        <w:t>Client: Gonzalez, Campbell and Kelly. Prepared by Michelle Banks. These minutes record what was discussed and agreed. Where a figure is mentioned below it is preliminary and subject to the reconciliation and review described.</w:t>
      </w:r>
    </w:p>
    <w:p>
      <w:pPr>
        <w:pStyle w:val="Heading2"/>
      </w:pPr>
      <w:r>
        <w:t>Attendees</w:t>
      </w:r>
    </w:p>
    <w:p>
      <w:pPr>
        <w:pStyle w:val="ListBullet"/>
      </w:pPr>
      <w:r>
        <w:t>Karen Harris, Actuarial Associate</w:t>
      </w:r>
    </w:p>
    <w:p>
      <w:pPr>
        <w:pStyle w:val="ListBullet"/>
      </w:pPr>
      <w:r>
        <w:t>Michelle Banks, Actuarial Associate</w:t>
      </w:r>
    </w:p>
    <w:p>
      <w:pPr>
        <w:pStyle w:val="ListBullet"/>
      </w:pPr>
      <w:r>
        <w:t>James Garcia, Chief Financial Officer, Gonzalez, Campbell and Kelly</w:t>
      </w:r>
    </w:p>
    <w:p>
      <w:pPr>
        <w:pStyle w:val="Heading2"/>
      </w:pPr>
      <w:r>
        <w:t>Discussion</w:t>
      </w:r>
    </w:p>
    <w:p>
      <w:r>
        <w:t>Karen Harris reviewed the status of the treaty summaries, which are complete and have been with the client's staff for comment. One drafting question is open: the rate-adjustment provision in the principal treaty appears to permit the reinsurer to propose a rate change on notice, subject to the cedent's right to recapture. James Garcia's understanding matches ours in substance. He noted that the provision has not been exercised and that no one presently at the firm was involved in negotiating it. We agreed the summary should record the provision as written and should not characterize what either party would do under it, because we do not know.</w:t>
      </w:r>
    </w:p>
    <w:p>
      <w:r>
        <w:t>I reported on the experience study. Exposure has been compiled for the observation period and reconciled to the in-force extract; the reconciliation closes on count and is within a tolerance we regard as acceptable on amount, with the residual traced to two blocks that were transferred mid-period and are recorded differently in the two systems. That is a recording difference, not a data defect, and it is documented in the working papers. Actual-to-expected has been calculated at the level of the whole ceded block. It has not been calculated by age band or duration, and I said that I do not yet know whether exposure will support that segmentation. Karen Harris asked what the whole-block result is. I gave it, with the caveat that a single ratio over a block this size tells you the direction and not much more, and that I would rather it not travel to the client's board in that form.</w:t>
      </w:r>
    </w:p>
    <w:p>
      <w:r>
        <w:t>James Garcia asked whether the result so far means the program is mispriced. It does not mean that. It means the experience over this period differs from the basis the rates were set on, in one direction. Whether that difference is credible, whether it persists, and whether it is worth anything at renewal are three separate questions and we have not answered any of them. He accepted that and asked instead what would make the answer more or less certain. Exposure, mostly, and time. Where the block will not carry a segmentation on its own experience, we will have to blend to an external basis, and we will show which assumptions are ours and which are borrowed.</w:t>
      </w:r>
    </w:p>
    <w:p>
      <w:r>
        <w:t>On data, two items remain outstanding: the reinsurer's rate confirmations for the two renewals in the observation period, and the expense allocation the client uses for the ceded business. James Garcia will chase the first with the broker. The second, he said, may not exist in a form we can use, in which case we will assume one and say we assumed it.</w:t>
      </w:r>
    </w:p>
    <w:p>
      <w:r>
        <w:t>Karen Harris raised the shape of the eventual presentation. The client's board will see the findings; the working assumption is one chart per slide and the exhibits in the workbook behind it. No decision was needed today and none was taken.</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Chase the reinsurer's rate confirmations for both renewals in the observation period</w:t>
            </w:r>
          </w:p>
        </w:tc>
        <w:tc>
          <w:tcPr>
            <w:tcW w:type="dxa" w:w="2880"/>
          </w:tcPr>
          <w:p>
            <w:r>
              <w:t>James Garcia</w:t>
            </w:r>
          </w:p>
        </w:tc>
        <w:tc>
          <w:tcPr>
            <w:tcW w:type="dxa" w:w="2880"/>
          </w:tcPr>
          <w:p>
            <w:r>
              <w:t>Next week</w:t>
            </w:r>
          </w:p>
        </w:tc>
      </w:tr>
      <w:tr>
        <w:tc>
          <w:tcPr>
            <w:tcW w:type="dxa" w:w="2880"/>
          </w:tcPr>
          <w:p>
            <w:r>
              <w:t>Confirm whether a usable expense allocation for the ceded business exists; if not, say so</w:t>
            </w:r>
          </w:p>
        </w:tc>
        <w:tc>
          <w:tcPr>
            <w:tcW w:type="dxa" w:w="2880"/>
          </w:tcPr>
          <w:p>
            <w:r>
              <w:t>James Garcia</w:t>
            </w:r>
          </w:p>
        </w:tc>
        <w:tc>
          <w:tcPr>
            <w:tcW w:type="dxa" w:w="2880"/>
          </w:tcPr>
          <w:p>
            <w:r>
              <w:t>Two weeks</w:t>
            </w:r>
          </w:p>
        </w:tc>
      </w:tr>
      <w:tr>
        <w:tc>
          <w:tcPr>
            <w:tcW w:type="dxa" w:w="2880"/>
          </w:tcPr>
          <w:p>
            <w:r>
              <w:t>Test whether exposure supports segmentation by age band and duration; report the answer either way</w:t>
            </w:r>
          </w:p>
        </w:tc>
        <w:tc>
          <w:tcPr>
            <w:tcW w:type="dxa" w:w="2880"/>
          </w:tcPr>
          <w:p>
            <w:r>
              <w:t>Michelle Banks</w:t>
            </w:r>
          </w:p>
        </w:tc>
        <w:tc>
          <w:tcPr>
            <w:tcW w:type="dxa" w:w="2880"/>
          </w:tcPr>
          <w:p>
            <w:r>
              <w:t>Two weeks</w:t>
            </w:r>
          </w:p>
        </w:tc>
      </w:tr>
      <w:tr>
        <w:tc>
          <w:tcPr>
            <w:tcW w:type="dxa" w:w="2880"/>
          </w:tcPr>
          <w:p>
            <w:r>
              <w:t>Document the mid-period transfer recording difference in the reconciliation working paper</w:t>
            </w:r>
          </w:p>
        </w:tc>
        <w:tc>
          <w:tcPr>
            <w:tcW w:type="dxa" w:w="2880"/>
          </w:tcPr>
          <w:p>
            <w:r>
              <w:t>Michelle Banks</w:t>
            </w:r>
          </w:p>
        </w:tc>
        <w:tc>
          <w:tcPr>
            <w:tcW w:type="dxa" w:w="2880"/>
          </w:tcPr>
          <w:p>
            <w:r>
              <w:t>This week</w:t>
            </w:r>
          </w:p>
        </w:tc>
      </w:tr>
      <w:tr>
        <w:tc>
          <w:tcPr>
            <w:tcW w:type="dxa" w:w="2880"/>
          </w:tcPr>
          <w:p>
            <w:r>
              <w:t>Finalize treaty summaries once the client's comments are in; record the rate-adjustment provision as written</w:t>
            </w:r>
          </w:p>
        </w:tc>
        <w:tc>
          <w:tcPr>
            <w:tcW w:type="dxa" w:w="2880"/>
          </w:tcPr>
          <w:p>
            <w:r>
              <w:t>Karen Harris</w:t>
            </w:r>
          </w:p>
        </w:tc>
        <w:tc>
          <w:tcPr>
            <w:tcW w:type="dxa" w:w="2880"/>
          </w:tcPr>
          <w:p>
            <w:r>
              <w:t>Next week</w:t>
            </w:r>
          </w:p>
        </w:tc>
      </w:tr>
      <w:tr>
        <w:tc>
          <w:tcPr>
            <w:tcW w:type="dxa" w:w="2880"/>
          </w:tcPr>
          <w:p>
            <w:r>
              <w:t>Circulate the draft assumption basis for review before any pricing is run on it</w:t>
            </w:r>
          </w:p>
        </w:tc>
        <w:tc>
          <w:tcPr>
            <w:tcW w:type="dxa" w:w="2880"/>
          </w:tcPr>
          <w:p>
            <w:r>
              <w:t>Michelle Banks</w:t>
            </w:r>
          </w:p>
        </w:tc>
        <w:tc>
          <w:tcPr>
            <w:tcW w:type="dxa" w:w="2880"/>
          </w:tcPr>
          <w:p>
            <w:r>
              <w:t>Three weeks</w:t>
            </w:r>
          </w:p>
        </w:tc>
      </w:tr>
    </w:tbl>
    <w:p>
      <w:r>
        <w:t>Next working session to be scheduled once the assumption basis has been reviewed. Corrections to these minutes to Michelle Banks.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Reinsurance Pricing Review for Gonzalez, Campbell and Kelly</dc:title>
  <dc:subject/>
  <dc:creator>Michelle Banks</dc:creator>
  <cp:keywords/>
  <dc:description>generated by python-docx</dc:description>
  <cp:lastModifiedBy>Michelle Banks</cp:lastModifiedBy>
  <cp:revision>1</cp:revision>
  <dcterms:created xsi:type="dcterms:W3CDTF">2024-09-13T09:00:00Z</dcterms:created>
  <dcterms:modified xsi:type="dcterms:W3CDTF">2024-09-13T09:00:00Z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