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Pension Valuation</w:t>
      </w:r>
    </w:p>
    <w:p>
      <w:r>
        <w:t>Prepared for the Director of Operations, Howard and Sons. Prepared by Jennifer Vasquez, Consulting Actuary.</w:t>
      </w:r>
    </w:p>
    <w:p>
      <w:pPr>
        <w:pStyle w:val="Heading2"/>
      </w:pPr>
      <w:r>
        <w:t>Status Summary</w:t>
      </w:r>
    </w:p>
    <w:p>
      <w:r>
        <w:t>The engagement is at roughly its midpoint and is on schedule. Data collection is complete, the census is reconciled, the plan provisions are settled, and the assumption review is done in substance. Valuation runs are the next thing to happen. Nothing has occurred that changes the shape of the work or the deliverables described in the engagement letter.</w:t>
      </w:r>
    </w:p>
    <w:p>
      <w:r>
        <w:t>Two items are worth your attention before you read further, because neither will improve by being left to the end. One is a disagreement between the prior valuation's summary of the early retirement factors and the plan document itself. The other is the mortality assumption, which we expect to move the measured liability upward if the trustees adopt an update. Both are described below. Neither is a surprise and neither is out of scope.</w:t>
      </w:r>
    </w:p>
    <w:p>
      <w:pPr>
        <w:pStyle w:val="Heading2"/>
      </w:pPr>
      <w:r>
        <w:t>Accomplished This Period</w:t>
      </w:r>
    </w:p>
    <w:p>
      <w:r>
        <w:t>David Sherman completed the census reconciliation against the population used in the prior valuation. The counts tie once the recordkeeper's status-code change is accounted for, and he has documented the mapping so that a reader a year from now can follow it without asking him. The missing beneficiary dates of birth are now partially recovered from your recordkeeper's archive; the remainder are genuinely unavailable, and for those records we will assume a spousal age difference. We will disclose the assumption, the number of records it touches, and its effect on the liability. That is the correct treatment, and we would rather put it in the report in plain language than leave it for someone to find in the exhibits.</w:t>
      </w:r>
    </w:p>
    <w:p>
      <w:r>
        <w:t>Jeffrey Ochoa finished the plan provisions summary, drafted from the plan document and every amendment in effect at the valuation date rather than from the prior report. That discipline is why we caught the early retirement factor discrepancy. The amendment we were missing has arrived and it supports Jeffrey Ochoa's reading. David Sherman has since tested the prior valuation's liability output against those factors, and the prior valuation appears to have applied them correctly notwithstanding what its summary said. On the evidence we have, this is a documentation error in the prior report and not a measurement error in the prior liability. We will state that conclusion, and the basis for it, in our report. We are not going further than the evidence supports.</w:t>
      </w:r>
    </w:p>
    <w:p>
      <w:r>
        <w:t>The assumption review is complete. Retirement, termination, and salary increase were tested against recent plan experience and none of them warrants a change; the report will say that we reviewed them and left them alone, because those are different from leaving them alone without review. Mortality is the open question and it is discussed below.</w:t>
      </w:r>
    </w:p>
    <w:p>
      <w:pPr>
        <w:pStyle w:val="Heading2"/>
      </w:pPr>
      <w:r>
        <w:t>Upcoming Work</w:t>
      </w:r>
    </w:p>
    <w:p>
      <w:r>
        <w:t>Valuation runs begin next. David Sherman will run the plan on the current mortality basis and on an updated table and projection scale, and Jeffrey Ochoa will build the exhibit workbook, including a standalone exhibit isolating the effect of the mortality change. The point of that exhibit is that the trustees should be able to see what the assumption is doing to the number instead of taking our characterization of it. After the runs, the gain and loss analysis attributing the movement in funded position since the prior valuation, then the draft report, then Robert Lawrence's review and signature.</w:t>
      </w:r>
    </w:p>
    <w:p>
      <w:r>
        <w:t>Draft results will come to you before any trustee material is prepared. We do not present to a board a number the sponsor is seeing for the first time in the room. Once you have reviewed the draft, we will schedule the presentation at whatever point in your board calendar suits, and the disclosure schedules will go to your auditors on the timeline we confirmed with your staff.</w:t>
      </w:r>
    </w:p>
    <w:p>
      <w:pPr>
        <w:pStyle w:val="Heading2"/>
      </w:pPr>
      <w:r>
        <w:t>Risks</w:t>
      </w:r>
    </w:p>
    <w:p>
      <w:r>
        <w:t>The mortality assumption is the largest item in front of us, and it is a judgment, not a correction. The assumption currently in use was reasonable when it was adopted. Our view is that continued improvement in observed mortality means it no longer reflects reasonable expectations for this population, and updating it will increase the measured liability and the recommended contribution. We are not going to put a size on that until the runs are done, and we would ask that nobody at Howard and Sons characterize the direction or magnitude to the trustees before the comparison exhibit exists. The recommendation is ours to make and the adoption is the board's; the sequence matters, and it goes wrong when a number gets discussed before it has been measured.</w:t>
      </w:r>
    </w:p>
    <w:p>
      <w:r>
        <w:t>The second risk is schedule, and it is small but real. Our remaining path has no slack of consequence between the draft report and the disclosure deadline. If the trustees want the mortality question deliberated over more than one meeting, that is entirely reasonable, but it will push the signed opinion, and we would rather flag that now than negotiate it later. If you tell us early that a second meeting is likely, we will build the draft to support it.</w:t>
      </w:r>
    </w:p>
    <w:p>
      <w:r>
        <w:t>The third is the ordinary one: nothing here is stronger than the data we were given. We have reconciled it and we have found it sound. We have not audited it, and our report will say so. If something material surfaces in the census after the runs, the effect is rework, and the cost of that rework grows with every week it goes unnoticed. We do not expect it. We mention it because a report that only lists the risks it expects is not a list of risks.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Pension Valuation for Howard and Sons</dc:title>
  <dc:subject/>
  <dc:creator>Jennifer Vasquez</dc:creator>
  <cp:keywords/>
  <dc:description>generated by python-docx</dc:description>
  <cp:lastModifiedBy>Jennifer Vasquez</cp:lastModifiedBy>
  <cp:revision>1</cp:revision>
  <dcterms:created xsi:type="dcterms:W3CDTF">2016-06-24T09:00:00Z</dcterms:created>
  <dcterms:modified xsi:type="dcterms:W3CDTF">2016-06-24T09:00:00Z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