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Retiree Medical Valuation</w:t>
      </w:r>
    </w:p>
    <w:p>
      <w:r>
        <w:t>To: Jennifer Vasquez, Amanda White</w:t>
        <w:br/>
        <w:t>From: Jeffrey Ochoa</w:t>
        <w:br/>
        <w:t>cc: Robert Lawrence, Linda Hanna</w:t>
        <w:br/>
        <w:t>Re: Retiree medical valuation for Martinez LLC, engagement kickoff</w:t>
      </w:r>
    </w:p>
    <w:p>
      <w:pPr>
        <w:pStyle w:val="Heading1"/>
      </w:pPr>
      <w:r>
        <w:t>Objectives</w:t>
      </w:r>
    </w:p>
    <w:p>
      <w:r>
        <w:t>The letter is countersigned and the engagement commences July 1, 2020. Linda Hanna has the executed copy on file and has opened the engagement in the usual way; anything that changes scope goes through her before it goes anywhere else. What we owe Martinez LLC is a measurement of the obligation for retiree medical benefits, an exhibit workbook that shows how the number was built, a report that interprets it, and the disclosure schedules their financial statements need. Robert Lawrence signs the report. Everything below exists so that when it reaches him there is nothing in it he has to take on faith.</w:t>
      </w:r>
    </w:p>
    <w:p>
      <w:r>
        <w:t>One thing worth saying at the start. Retiree medical is not a pension valuation with different tables. The obligation is driven by per-capita claims costs and by a trend assumption that compounds over decades, and both of those come out of client data that was never assembled for our purpose. Most of the risk on this engagement is in the first six weeks, in what the data turn out to be. Plan accordingly.</w:t>
      </w:r>
    </w:p>
    <w:p>
      <w:pPr>
        <w:pStyle w:val="Heading1"/>
      </w:pPr>
      <w:r>
        <w:t>Workstreams</w:t>
      </w:r>
    </w:p>
    <w:p>
      <w:pPr>
        <w:pStyle w:val="ListBullet"/>
      </w:pPr>
      <w:r>
        <w:t>Data request and reconciliation. I own this. The request goes out this week and asks for the retiree and dependent census, the eligible active population with hire and birth dates, the claims experience by tier for as many years as they can produce, the current premium and retiree contribution schedules, and the plan document with every amendment in force. Amanda White logs what arrives against what was asked for, including anything that arrives in a different shape than requested.</w:t>
      </w:r>
    </w:p>
    <w:p>
      <w:pPr>
        <w:pStyle w:val="ListBullet"/>
      </w:pPr>
      <w:r>
        <w:t>Plan provisions summary. Amanda White owns this. Read the plan document and the summary plan description, write down what the benefit actually is, and flag every place the two documents disagree with each other or with what the client tells us in conversation. Do not resolve the disagreements. Record them.</w:t>
      </w:r>
    </w:p>
    <w:p>
      <w:pPr>
        <w:pStyle w:val="ListBullet"/>
      </w:pPr>
      <w:r>
        <w:t>Per-capita claims cost development. I own this. Nothing starts here until the census is reconciled. If the claims data will not support a credible cost curve by age and tier, we will say so and use a published curve with the reliance disclosed, and that is a decision Jennifer Vasquez makes, not one we drift into.</w:t>
      </w:r>
    </w:p>
    <w:p>
      <w:pPr>
        <w:pStyle w:val="ListBullet"/>
      </w:pPr>
      <w:r>
        <w:t>Assumption inventory. Jennifer Vasquez owns this. Trend, discount rate, retirement, mortality, participation, spousal coverage. For each one, what basis exists on file and what the company has previously adopted. Inventory only at this stage. Recommendations come later and go to Robert Lawrence before they go to the client.</w:t>
      </w:r>
    </w:p>
    <w:p>
      <w:pPr>
        <w:pStyle w:val="ListBullet"/>
      </w:pPr>
      <w:r>
        <w:t>Workbook architecture. Amanda White and me. Input tabs separate from calculation tabs, every exhibit traceable back to a named input, no hard-coded numbers anywhere in the calculation. We build the shell now, while there is time to build it properly.</w:t>
      </w:r>
    </w:p>
    <w:p>
      <w:pPr>
        <w:pStyle w:val="Heading1"/>
      </w:pPr>
      <w:r>
        <w:t>Working Rules</w:t>
      </w:r>
    </w:p>
    <w:p>
      <w:pPr>
        <w:pStyle w:val="ListBullet"/>
      </w:pPr>
      <w:r>
        <w:t>Client data questions go to Jason Wagner through me, in one message per week where possible, not from three of us on three days.</w:t>
      </w:r>
    </w:p>
    <w:p>
      <w:pPr>
        <w:pStyle w:val="ListBullet"/>
      </w:pPr>
      <w:r>
        <w:t>Nothing reaches the client described as a result until Jennifer Vasquez has seen it. A draft number that escapes is a number we spend a month walking back.</w:t>
      </w:r>
    </w:p>
    <w:p>
      <w:pPr>
        <w:pStyle w:val="ListBullet"/>
      </w:pPr>
      <w:r>
        <w:t>Label measurement and judgment as we go, in the working papers, not at the end. If a cell contains something we assumed, the tab says so.</w:t>
      </w:r>
    </w:p>
    <w:p>
      <w:pPr>
        <w:pStyle w:val="ListBullet"/>
      </w:pPr>
      <w:r>
        <w:t>If an extract looks like a different population than the one described to us, stop and raise it before anyone builds on it.</w:t>
      </w:r>
    </w:p>
    <w:p>
      <w:pPr>
        <w:pStyle w:val="Heading1"/>
      </w:pPr>
      <w:r>
        <w:t>Next Steps</w:t>
      </w:r>
    </w:p>
    <w:p>
      <w:pPr>
        <w:pStyle w:val="ListBullet"/>
      </w:pPr>
      <w:r>
        <w:t>Issue the data request and confirm receipt with Jason Wagner.</w:t>
      </w:r>
    </w:p>
    <w:p>
      <w:pPr>
        <w:pStyle w:val="ListBullet"/>
      </w:pPr>
      <w:r>
        <w:t>Stand up the workbook shell and the input tabs.</w:t>
      </w:r>
    </w:p>
    <w:p>
      <w:pPr>
        <w:pStyle w:val="ListBullet"/>
      </w:pPr>
      <w:r>
        <w:t>Circulate the plan provisions summary once the document set arrives.</w:t>
      </w:r>
    </w:p>
    <w:p>
      <w:pPr>
        <w:pStyle w:val="ListBullet"/>
      </w:pPr>
      <w:r>
        <w:t>Team check-in every other week until the data are reconciled, then weekly.</w:t>
      </w:r>
    </w:p>
    <w:p>
      <w:r>
        <w:t>Ask me anything that is unclear now rather than working around it quietly. It is early enough that questions are cheap.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Retiree Medical Valuation for Martinez LLC</dc:title>
  <dc:subject/>
  <dc:creator>Jeffrey Ochoa</dc:creator>
  <cp:keywords/>
  <dc:description>generated by python-docx</dc:description>
  <cp:lastModifiedBy>Jeffrey Ochoa</cp:lastModifiedBy>
  <cp:revision>1</cp:revision>
  <dcterms:created xsi:type="dcterms:W3CDTF">2020-07-04T09:00:00Z</dcterms:created>
  <dcterms:modified xsi:type="dcterms:W3CDTF">2020-07-04T09:00:00Z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