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Retiree Medical Valuation</w:t>
      </w:r>
    </w:p>
    <w:p>
      <w:r>
        <w:t>Prepared for Martinez LLC by Jeffrey Ochoa, Actuarial Analyst. Reporting period: the month ending on the date of this report. Distribution: Martinez LLC management; engagement file.</w:t>
      </w:r>
    </w:p>
    <w:p>
      <w:pPr>
        <w:pStyle w:val="Heading1"/>
      </w:pPr>
      <w:r>
        <w:t>Summary</w:t>
      </w:r>
    </w:p>
    <w:p>
      <w:r>
        <w:t>The engagement is at roughly its midpoint and is on schedule. The data phase is closed. The per-capita claims cost development is complete and under internal review. The assumption set is drafted and has not yet been recommended to you. Nothing has been measured yet, and no obligation figure exists at this writing; that work begins when the assumptions are settled. There is one open item on the data side and one judgment we will be asking you to make, both described below.</w:t>
      </w:r>
    </w:p>
    <w:p>
      <w:pPr>
        <w:pStyle w:val="Heading1"/>
      </w:pPr>
      <w:r>
        <w:t>Accomplishments This Period</w:t>
      </w:r>
    </w:p>
    <w:p>
      <w:r>
        <w:t>The census is reconciled and closed. Retirees, covered spouses, and eligible actives all agree with the coverage and payroll records furnished, with the exception noted below. Amanda White completed the reconciliation and the tier mapping, and the workbook now carries a reconciliation exhibit that traces from your extract to the valuation population line by line. If a reader asks where a person went, the exhibit answers it.</w:t>
      </w:r>
    </w:p>
    <w:p>
      <w:r>
        <w:t>The per-capita claims cost development is done. Two prior years of paid claims were blended and tested for credibility by age band and coverage tier. The retiree tiers are credible and are being used. Two of the active tiers are not, and for those we are relying on a published cost curve, adjusted to your experience where the data support an adjustment. Every one of those choices is documented in the workbook with the test that drove it. The current year was excluded from the cost curve on the grounds that utilization since the spring is not representative of long-term experience; that exclusion is a judgment, it is stated as one in the working papers, and it will be stated as one in the report.</w:t>
      </w:r>
    </w:p>
    <w:p>
      <w:r>
        <w:t>The plan provisions summary is finished and reconciled against the plan document, the summary plan description, and the current contribution schedule. Two places where the document and the summary read differently have been flagged to your staff. Neither appears to change the benefit as administered, but we would rather have them resolved in writing than assume our reading is the right one. A valuation measures the benefit the plan actually promises, and the only evidence we have of that promise is the paper. Where the paper is ambiguous we need someone at the company to tell us which reading governs, and we need it in a form we can put in the file.</w:t>
      </w:r>
    </w:p>
    <w:p>
      <w:r>
        <w:t>Jennifer Vasquez has drafted the assumption set and taken it through internal review with the responsible actuary. It has not been sent to you, because an assumption we recommend and one you adopt are different things and we do not want the sequence blurred. When it comes, it will come with the alternatives we considered and the reason each was set aside, so that what you are adopting is a choice and not a single number handed over as though it were the only one available.</w:t>
      </w:r>
    </w:p>
    <w:p>
      <w:pPr>
        <w:pStyle w:val="Heading1"/>
      </w:pPr>
      <w:r>
        <w:t>Upcoming Work</w:t>
      </w:r>
    </w:p>
    <w:p>
      <w:pPr>
        <w:pStyle w:val="ListBullet"/>
      </w:pPr>
      <w:r>
        <w:t>Present the assumption recommendations, with the alternatives and the effect of each, for the company's adoption. This is the next thing that needs your attention and the next thing that can hold the schedule.</w:t>
      </w:r>
    </w:p>
    <w:p>
      <w:pPr>
        <w:pStyle w:val="ListBullet"/>
      </w:pPr>
      <w:r>
        <w:t>Run the measurement once the assumptions are adopted: the accumulated obligation, the service cost, and the components of the annual expense.</w:t>
      </w:r>
    </w:p>
    <w:p>
      <w:pPr>
        <w:pStyle w:val="ListBullet"/>
      </w:pPr>
      <w:r>
        <w:t>Build the exhibit workbook out to the delivered form, including the reconciliation of the change in the obligation and the sensitivity exhibits your disclosure requires.</w:t>
      </w:r>
    </w:p>
    <w:p>
      <w:pPr>
        <w:pStyle w:val="ListBullet"/>
      </w:pPr>
      <w:r>
        <w:t>Draft the report and the disclosure schedules, and review both with your staff before they are finalized.</w:t>
      </w:r>
    </w:p>
    <w:p>
      <w:pPr>
        <w:pStyle w:val="Heading1"/>
      </w:pPr>
      <w:r>
        <w:t>Risks</w:t>
      </w:r>
    </w:p>
    <w:p>
      <w:r>
        <w:t>Assumption adoption is the schedule. The measurement cannot start until the trend assumption and the discount rate are settled, and every week of delay there is a week off the back end, where the time is needed for review rather than for waiting. If it would help to have Jennifer Vasquez walk through the recommendations with you before they go to anyone else, say so and we will arrange it.</w:t>
      </w:r>
    </w:p>
    <w:p>
      <w:r>
        <w:t>The eleven carried-over actives remain open. If the hire dates cannot be produced, we will assume service from the earliest payroll evidence, disclose the assumption, and show what it does. We do not expect it to be material on that population, but we would rather have the dates.</w:t>
      </w:r>
    </w:p>
    <w:p>
      <w:r>
        <w:t>The claims credibility limitation is a real one and it does not go away. Two active tiers rest on a published curve rather than on your experience. That is a defensible basis and it will be disclosed as such, but it means those tiers carry more uncertainty than the retiree tiers do, and the report will say so rather than present a single number as though every part of it were measured the same way.</w:t>
      </w:r>
    </w:p>
    <w:p>
      <w:pPr>
        <w:pStyle w:val="Heading1"/>
      </w:pPr>
      <w:r>
        <w:t>Budget</w:t>
      </w:r>
    </w:p>
    <w:p>
      <w:r>
        <w:t>The fixed fee for the scope in the engagement letter is $118,500. Effort through this period is consistent with that fee and with the work remaining; we are not forecasting an overrun. Nothing performed to date falls outside the scope of the letter, and if something does arise that would, you will hear it from us at the time rather than on an invoice.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Retiree Medical Valuation for Martinez LLC</dc:title>
  <dc:subject/>
  <dc:creator>Jeffrey Ochoa</dc:creator>
  <cp:keywords/>
  <dc:description>generated by python-docx</dc:description>
  <cp:lastModifiedBy>Jeffrey Ochoa</cp:lastModifiedBy>
  <cp:revision>1</cp:revision>
  <dcterms:created xsi:type="dcterms:W3CDTF">2020-10-22T09:00:00Z</dcterms:created>
  <dcterms:modified xsi:type="dcterms:W3CDTF">2020-10-22T09:00:00Z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