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Working Session: Claims Data and Trend</w:t>
      </w:r>
    </w:p>
    <w:p>
      <w:r>
        <w:t>Minutes recorded by Jennifer Vasquez. Subject: Martinez LLC retiree medical valuation, working session held at the client's request by telephone.</w:t>
      </w:r>
    </w:p>
    <w:p>
      <w:pPr>
        <w:pStyle w:val="Heading2"/>
      </w:pPr>
      <w:r>
        <w:t>Attendees</w:t>
      </w:r>
    </w:p>
    <w:p>
      <w:pPr>
        <w:pStyle w:val="ListBullet"/>
      </w:pPr>
      <w:r>
        <w:t>Jennifer Vasquez, Consulting Actuary</w:t>
      </w:r>
    </w:p>
    <w:p>
      <w:pPr>
        <w:pStyle w:val="ListBullet"/>
      </w:pPr>
      <w:r>
        <w:t>Jeffrey Ochoa, Actuarial Analyst</w:t>
      </w:r>
    </w:p>
    <w:p>
      <w:pPr>
        <w:pStyle w:val="ListBullet"/>
      </w:pPr>
      <w:r>
        <w:t>Amanda White, Actuarial Associate</w:t>
      </w:r>
    </w:p>
    <w:p>
      <w:pPr>
        <w:pStyle w:val="ListBullet"/>
      </w:pPr>
      <w:r>
        <w:t>Jason Wagner, General Manager, Martinez LLC</w:t>
      </w:r>
    </w:p>
    <w:p>
      <w:pPr>
        <w:pStyle w:val="Heading2"/>
      </w:pPr>
      <w:r>
        <w:t>Discussion</w:t>
      </w:r>
    </w:p>
    <w:p>
      <w:r>
        <w:t>Jeffrey Ochoa reported that the census reconciles. The retiree file agrees with the coverage records tier by tier, and the two discrepancies found earlier have been resolved as coding of a survivor benefit rather than as missing people. The eligible active population is reconciled subject to one open item: eleven employees have hire dates that predate the current payroll system and were carried over without service history. Ochoa was careful to separate the two halves of that: the count is a measurement and it is firm, while the service assumed for those eleven is a judgment we will have to document.</w:t>
      </w:r>
    </w:p>
    <w:p>
      <w:r>
        <w:t>Jason Wagner said the eleven are all long-service and that personnel files exist in some form. He will have someone look. If the files do not produce dates, we will assume service from the earliest evidence in the payroll extract, which understates it, and we will disclose that the assumption is conservative in a direction that reduces the obligation. Wagner asked what the effect would be. The honest answer is that on eleven people out of that population it is unlikely to be material, and we will show it rather than assert it.</w:t>
      </w:r>
    </w:p>
    <w:p>
      <w:r>
        <w:t>The claims experience was the substance of the session. Three years of paid claims arrived, which is thin, and the year now in progress is not usable for a cost curve at all: utilization since the spring is plainly not typical, and nobody in the room believes it represents anything we should be projecting forward for thirty years. Amanda White has blended the two prior years and is testing the result against a published cost curve by age and tier. Where our data are credible we will use them; where they are not, we will use the published curve and disclose the reliance. That decision is mine and I will state the basis for it in the report.</w:t>
      </w:r>
    </w:p>
    <w:p>
      <w:r>
        <w:t>On trend, I walked Wagner through why the assumption matters more here than any other input: it compounds over the life of the obligation, so a difference that looks small in the first year is not small by the end. I did not give him a number today. The company adopts the trend assumption on our recommendation, and the recommendation goes to Robert Lawrence before it goes to the board. Wagner asked whether the current year's experience should push the assumption down. It should not, and the reason is worth repeating: a year of deferred care is not a change in the long-term cost of care, and we should be at least as suspicious of a favorable anomaly as an unfavorable one.</w:t>
      </w:r>
    </w:p>
    <w:p>
      <w:pPr>
        <w:pStyle w:val="Heading2"/>
      </w:pPr>
      <w:r>
        <w:t>Action Items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Item</w:t>
            </w:r>
          </w:p>
        </w:tc>
        <w:tc>
          <w:tcPr>
            <w:tcW w:type="dxa" w:w="2880"/>
          </w:tcPr>
          <w:p>
            <w:r>
              <w:rPr>
                <w:b/>
              </w:rPr>
              <w:t>Owner</w:t>
            </w:r>
          </w:p>
        </w:tc>
        <w:tc>
          <w:tcPr>
            <w:tcW w:type="dxa" w:w="2880"/>
          </w:tcPr>
          <w:p>
            <w:r>
              <w:rPr>
                <w:b/>
              </w:rPr>
              <w:t>Due</w:t>
            </w:r>
          </w:p>
        </w:tc>
      </w:tr>
      <w:tr>
        <w:tc>
          <w:tcPr>
            <w:tcW w:type="dxa" w:w="2880"/>
          </w:tcPr>
          <w:p>
            <w:r>
              <w:t>Search personnel files for hire dates on the eleven carried-over actives; confirm in writing if they cannot be produced</w:t>
            </w:r>
          </w:p>
        </w:tc>
        <w:tc>
          <w:tcPr>
            <w:tcW w:type="dxa" w:w="2880"/>
          </w:tcPr>
          <w:p>
            <w:r>
              <w:t>Jason Wagner</w:t>
            </w:r>
          </w:p>
        </w:tc>
        <w:tc>
          <w:tcPr>
            <w:tcW w:type="dxa" w:w="2880"/>
          </w:tcPr>
          <w:p>
            <w:r>
              <w:t>Before the cost development is locked</w:t>
            </w:r>
          </w:p>
        </w:tc>
      </w:tr>
      <w:tr>
        <w:tc>
          <w:tcPr>
            <w:tcW w:type="dxa" w:w="2880"/>
          </w:tcPr>
          <w:p>
            <w:r>
              <w:t>Finish the credibility test of blended claims against the published curve; document which tiers fall which way</w:t>
            </w:r>
          </w:p>
        </w:tc>
        <w:tc>
          <w:tcPr>
            <w:tcW w:type="dxa" w:w="2880"/>
          </w:tcPr>
          <w:p>
            <w:r>
              <w:t>Amanda White</w:t>
            </w:r>
          </w:p>
        </w:tc>
        <w:tc>
          <w:tcPr>
            <w:tcW w:type="dxa" w:w="2880"/>
          </w:tcPr>
          <w:p>
            <w:r>
              <w:t>Two weeks</w:t>
            </w:r>
          </w:p>
        </w:tc>
      </w:tr>
      <w:tr>
        <w:tc>
          <w:tcPr>
            <w:tcW w:type="dxa" w:w="2880"/>
          </w:tcPr>
          <w:p>
            <w:r>
              <w:t>Exclude the current year from the cost curve and write the basis for the exclusion into the working papers</w:t>
            </w:r>
          </w:p>
        </w:tc>
        <w:tc>
          <w:tcPr>
            <w:tcW w:type="dxa" w:w="2880"/>
          </w:tcPr>
          <w:p>
            <w:r>
              <w:t>Jeffrey Ochoa</w:t>
            </w:r>
          </w:p>
        </w:tc>
        <w:tc>
          <w:tcPr>
            <w:tcW w:type="dxa" w:w="2880"/>
          </w:tcPr>
          <w:p>
            <w:r>
              <w:t>With the cost development</w:t>
            </w:r>
          </w:p>
        </w:tc>
      </w:tr>
      <w:tr>
        <w:tc>
          <w:tcPr>
            <w:tcW w:type="dxa" w:w="2880"/>
          </w:tcPr>
          <w:p>
            <w:r>
              <w:t>Draft the trend recommendation and the alternatives to be shown alongside it</w:t>
            </w:r>
          </w:p>
        </w:tc>
        <w:tc>
          <w:tcPr>
            <w:tcW w:type="dxa" w:w="2880"/>
          </w:tcPr>
          <w:p>
            <w:r>
              <w:t>Jennifer Vasquez</w:t>
            </w:r>
          </w:p>
        </w:tc>
        <w:tc>
          <w:tcPr>
            <w:tcW w:type="dxa" w:w="2880"/>
          </w:tcPr>
          <w:p>
            <w:r>
              <w:t>For internal review before the next session</w:t>
            </w:r>
          </w:p>
        </w:tc>
      </w:tr>
      <w:tr>
        <w:tc>
          <w:tcPr>
            <w:tcW w:type="dxa" w:w="2880"/>
          </w:tcPr>
          <w:p>
            <w:r>
              <w:t>Confirm the retiree contribution schedule for the coming year, and whether the company has committed to any future schedule</w:t>
            </w:r>
          </w:p>
        </w:tc>
        <w:tc>
          <w:tcPr>
            <w:tcW w:type="dxa" w:w="2880"/>
          </w:tcPr>
          <w:p>
            <w:r>
              <w:t>Jason Wagner</w:t>
            </w:r>
          </w:p>
        </w:tc>
        <w:tc>
          <w:tcPr>
            <w:tcW w:type="dxa" w:w="2880"/>
          </w:tcPr>
          <w:p>
            <w:r>
              <w:t>Two weeks</w:t>
            </w:r>
          </w:p>
        </w:tc>
      </w:tr>
    </w:tbl>
    <w:p>
      <w:r>
        <w:t>Next working session to be scheduled once the cost development is complete.</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Meridian Actuarial Advisors LLC</w:t>
    </w:r>
  </w:p>
  <w:p>
    <w:r>
      <w:rPr>
        <w:sz w:val="18"/>
      </w:rPr>
      <w:t>www.meridianactuarial.com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Meridian Actuarial Advisors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Meeting Minutes: Retiree Medical Valuation for Martinez LLC</dc:title>
  <dc:subject/>
  <dc:creator>Jennifer Vasquez</dc:creator>
  <cp:keywords/>
  <dc:description>generated by python-docx</dc:description>
  <cp:lastModifiedBy>Jennifer Vasquez</cp:lastModifiedBy>
  <cp:revision>1</cp:revision>
  <dcterms:created xsi:type="dcterms:W3CDTF">2020-09-29T09:00:00Z</dcterms:created>
  <dcterms:modified xsi:type="dcterms:W3CDTF">2020-09-29T09:00:00Z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