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Draft Exhibits and Report Review</w:t>
      </w:r>
    </w:p>
    <w:p>
      <w:r>
        <w:t>Minutes recorded by Jennifer Vasquez. Subject: Martinez LLC retiree medical valuation, review of the draft exhibits and the draft report.</w:t>
      </w:r>
    </w:p>
    <w:p>
      <w:pPr>
        <w:pStyle w:val="Heading2"/>
      </w:pPr>
      <w:r>
        <w:t>Attendees</w:t>
      </w:r>
    </w:p>
    <w:p>
      <w:pPr>
        <w:pStyle w:val="ListBullet"/>
      </w:pPr>
      <w:r>
        <w:t>Jennifer Vasquez, Consulting Actuary</w:t>
      </w:r>
    </w:p>
    <w:p>
      <w:pPr>
        <w:pStyle w:val="ListBullet"/>
      </w:pPr>
      <w:r>
        <w:t>Jeffrey Ochoa, Actuarial Analyst</w:t>
      </w:r>
    </w:p>
    <w:p>
      <w:pPr>
        <w:pStyle w:val="ListBullet"/>
      </w:pPr>
      <w:r>
        <w:t>Amanda White, Actuarial Associate</w:t>
      </w:r>
    </w:p>
    <w:p>
      <w:pPr>
        <w:pStyle w:val="ListBullet"/>
      </w:pPr>
      <w:r>
        <w:t>Jason Wagner, General Manager, Martinez LLC</w:t>
      </w:r>
    </w:p>
    <w:p>
      <w:pPr>
        <w:pStyle w:val="Heading2"/>
      </w:pPr>
      <w:r>
        <w:t>Discussion</w:t>
      </w:r>
    </w:p>
    <w:p>
      <w:r>
        <w:t>The draft workbook and the draft report were circulated in advance and the session went through both. The measurement is complete on the assumptions the company adopted. Jason Wagner had read the report and came with questions, which made this a shorter meeting than it would otherwise have been.</w:t>
      </w:r>
    </w:p>
    <w:p>
      <w:r>
        <w:t>Wagner's first question was why the obligation is larger than what the company has been carrying. Jeffrey Ochoa walked the reconciliation exhibit, which attributes the change to its sources one line at a time: the population is larger than the prior figure contemplated, the discount rate is lower, and the trend assumption was reset off a proper claims analysis rather than carried forward. Three sources, three lines, each with its own effect shown. Wagner asked which of the three was the assumption and which was the fact. Population is a count and it is measured. The other two are assumptions the company adopted on our recommendation. He asked us to make that distinction visible on the face of the exhibit rather than in a footnote, which is a fair request and one we should have anticipated.</w:t>
      </w:r>
    </w:p>
    <w:p>
      <w:r>
        <w:t>We reviewed the sensitivity exhibits. Wagner wanted to know whether the trend sensitivity could be shown against the alternatives that were on the table when the assumption was adopted, so the board can see what the choice cost. It can, and Amanda White will build it. She had that exhibit half-drafted already, which is the reason it will be quick.</w:t>
      </w:r>
    </w:p>
    <w:p>
      <w:r>
        <w:t>On the report itself, Wagner asked whether the reliance and limitation language could be shortened, on the view that it reads as though we are hedging. I said no, and I want the reason in the minutes rather than left as a disagreement. The report rests on data the company furnished and on assumptions the company adopted, and two of the active tiers rest on a published cost curve rather than on the company's own claims experience. A reader who does not know those things has been given a number without being given its basis. The qualifiers are not a hedge against being wrong; they are what makes the number mean anything. Wagner accepted the position and asked only that the language be plain, which is a fair ask and separately worth doing. I will take another pass at it for readability without removing anything it discloses.</w:t>
      </w:r>
    </w:p>
    <w:p>
      <w:r>
        <w:t>Robert Lawrence has not yet reviewed the draft in signing form. Nothing here should be treated as final until he has.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Revise the reconciliation exhibit to mark on its face which sources are measured and which are assumed</w:t>
            </w:r>
          </w:p>
        </w:tc>
        <w:tc>
          <w:tcPr>
            <w:tcW w:type="dxa" w:w="2880"/>
          </w:tcPr>
          <w:p>
            <w:r>
              <w:t>Jeffrey Ochoa</w:t>
            </w:r>
          </w:p>
        </w:tc>
        <w:tc>
          <w:tcPr>
            <w:tcW w:type="dxa" w:w="2880"/>
          </w:tcPr>
          <w:p>
            <w:r>
              <w:t>With the next draft</w:t>
            </w:r>
          </w:p>
        </w:tc>
      </w:tr>
      <w:tr>
        <w:tc>
          <w:tcPr>
            <w:tcW w:type="dxa" w:w="2880"/>
          </w:tcPr>
          <w:p>
            <w:r>
              <w:t>Build the trend sensitivity against the alternatives considered at adoption</w:t>
            </w:r>
          </w:p>
        </w:tc>
        <w:tc>
          <w:tcPr>
            <w:tcW w:type="dxa" w:w="2880"/>
          </w:tcPr>
          <w:p>
            <w:r>
              <w:t>Amanda White</w:t>
            </w:r>
          </w:p>
        </w:tc>
        <w:tc>
          <w:tcPr>
            <w:tcW w:type="dxa" w:w="2880"/>
          </w:tcPr>
          <w:p>
            <w:r>
              <w:t>With the next draft</w:t>
            </w:r>
          </w:p>
        </w:tc>
      </w:tr>
      <w:tr>
        <w:tc>
          <w:tcPr>
            <w:tcW w:type="dxa" w:w="2880"/>
          </w:tcPr>
          <w:p>
            <w:r>
              <w:t>Rewrite the reliance and limitation sections for plainness, disclosing no less than the current draft does</w:t>
            </w:r>
          </w:p>
        </w:tc>
        <w:tc>
          <w:tcPr>
            <w:tcW w:type="dxa" w:w="2880"/>
          </w:tcPr>
          <w:p>
            <w:r>
              <w:t>Jennifer Vasquez</w:t>
            </w:r>
          </w:p>
        </w:tc>
        <w:tc>
          <w:tcPr>
            <w:tcW w:type="dxa" w:w="2880"/>
          </w:tcPr>
          <w:p>
            <w:r>
              <w:t>With the next draft</w:t>
            </w:r>
          </w:p>
        </w:tc>
      </w:tr>
      <w:tr>
        <w:tc>
          <w:tcPr>
            <w:tcW w:type="dxa" w:w="2880"/>
          </w:tcPr>
          <w:p>
            <w:r>
              <w:t>Confirm in writing that the contribution schedule used in the measurement is the one in force</w:t>
            </w:r>
          </w:p>
        </w:tc>
        <w:tc>
          <w:tcPr>
            <w:tcW w:type="dxa" w:w="2880"/>
          </w:tcPr>
          <w:p>
            <w:r>
              <w:t>Jason Wagner</w:t>
            </w:r>
          </w:p>
        </w:tc>
        <w:tc>
          <w:tcPr>
            <w:tcW w:type="dxa" w:w="2880"/>
          </w:tcPr>
          <w:p>
            <w:r>
              <w:t>Before the report is finalized</w:t>
            </w:r>
          </w:p>
        </w:tc>
      </w:tr>
      <w:tr>
        <w:tc>
          <w:tcPr>
            <w:tcW w:type="dxa" w:w="2880"/>
          </w:tcPr>
          <w:p>
            <w:r>
              <w:t>Circulate the revised draft and workbook for signing review</w:t>
            </w:r>
          </w:p>
        </w:tc>
        <w:tc>
          <w:tcPr>
            <w:tcW w:type="dxa" w:w="2880"/>
          </w:tcPr>
          <w:p>
            <w:r>
              <w:t>Jennifer Vasquez</w:t>
            </w:r>
          </w:p>
        </w:tc>
        <w:tc>
          <w:tcPr>
            <w:tcW w:type="dxa" w:w="2880"/>
          </w:tcPr>
          <w:p>
            <w:r>
              <w:t>After the items above close</w:t>
            </w:r>
          </w:p>
        </w:tc>
      </w:tr>
    </w:tbl>
    <w:p>
      <w:r>
        <w:t>Wagner asked to have the final report presented to the ownership group rather than only delivered. We will schedule that once it is signed.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Retiree Medical Valuation for Martinez LLC</dc:title>
  <dc:subject/>
  <dc:creator>Jennifer Vasquez</dc:creator>
  <cp:keywords/>
  <dc:description>generated by python-docx</dc:description>
  <cp:lastModifiedBy>Jennifer Vasquez</cp:lastModifiedBy>
  <cp:revision>1</cp:revision>
  <dcterms:created xsi:type="dcterms:W3CDTF">2020-12-28T09:00:00Z</dcterms:created>
  <dcterms:modified xsi:type="dcterms:W3CDTF">2020-12-28T09:00:00Z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