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Reserve Adequacy Review</w:t>
      </w:r>
    </w:p>
    <w:p>
      <w:r>
        <w:t>To: Jennifer Vasquez, David Sherman, Jennifer Johnson</w:t>
        <w:br/>
        <w:t>From: Megan Dudley</w:t>
        <w:br/>
        <w:t>Re: Reserve adequacy review for Miller, Cook and Snyder, engagement kickoff</w:t>
      </w:r>
    </w:p>
    <w:p>
      <w:pPr>
        <w:pStyle w:val="Heading1"/>
      </w:pPr>
      <w:r>
        <w:t>Objectives</w:t>
      </w:r>
    </w:p>
    <w:p>
      <w:r>
        <w:t>The engagement letter is countersigned and work commences on August 28, 2017. What we owe the client is a written opinion on whether the reserves carried by Miller, Cook and Snyder make adequate provision for the liabilities they cover, supported by an exhibit workbook a reader can trace from a number back to the extract it came from. The opinion is the deliverable. The workbook is what makes the opinion checkable, which is the same thing as saying the workbook is not optional.</w:t>
      </w:r>
    </w:p>
    <w:p>
      <w:r>
        <w:t>Robert Lawrence is the responsible actuary and signs the report. Jennifer Vasquez leads the assumption review and drafts the narrative. David Sherman runs the valuation and owns the reconciliation. Jennifer Johnson supports the data work and logs what arrives. I am building the exhibits and holding the schedule. Michelle Hudson, Director of Operations, is the client's single point of contact and we should keep her that way.</w:t>
      </w:r>
    </w:p>
    <w:p>
      <w:pPr>
        <w:pStyle w:val="Heading1"/>
      </w:pPr>
      <w:r>
        <w:t>Workstreams</w:t>
      </w:r>
    </w:p>
    <w:p>
      <w:pPr>
        <w:pStyle w:val="ListBullet"/>
      </w:pPr>
      <w:r>
        <w:t>Data request and reconciliation. David Sherman owns this. The request goes out this week and asks for the in-force extract, the reserve detail by plan, and the prior valuation's reconciliation summary. Jennifer Johnson logs what arrives against what was asked for, including what arrives in a different shape than requested.</w:t>
      </w:r>
    </w:p>
    <w:p>
      <w:pPr>
        <w:pStyle w:val="ListBullet"/>
      </w:pPr>
      <w:r>
        <w:t>Assumption review. Jennifer Vasquez owns this. Inventory the assumptions in force, identify which have changed since the prior valuation, and record the basis documented for each. Inventory only at this stage. No recommendations.</w:t>
      </w:r>
    </w:p>
    <w:p>
      <w:pPr>
        <w:pStyle w:val="ListBullet"/>
      </w:pPr>
      <w:r>
        <w:t>Exhibit build. I own this. The workbook follows the prior review's layout so the exhibits are comparable side by side. One tab per exhibit, inputs on their own tabs, no links to files outside the workbook.</w:t>
      </w:r>
    </w:p>
    <w:p>
      <w:pPr>
        <w:pStyle w:val="ListBullet"/>
      </w:pPr>
      <w:r>
        <w:t>Reporting. Jennifer Vasquez drafts, Robert Lawrence reviews and signs. Drafting does not start until the exhibits are stable, because rewriting a narrative around a moved number is how errors get in.</w:t>
      </w:r>
    </w:p>
    <w:p>
      <w:pPr>
        <w:pStyle w:val="Heading1"/>
      </w:pPr>
      <w:r>
        <w:t>What is not in scope</w:t>
      </w:r>
    </w:p>
    <w:p>
      <w:r>
        <w:t>This is not an audit and we do not verify the underlying records. We test the data for internal consistency and against the prior period, and we disclose what we relied on. We are not repricing anything, we are not commenting on the administration system, and we are not producing anything beyond what the reserve adequacy conclusion requires. If a request arrives that sits outside the letter, route it to Robert Lawrence rather than absorbing it. The fee is fixed against the scope as written.</w:t>
      </w:r>
    </w:p>
    <w:p>
      <w:pPr>
        <w:pStyle w:val="Heading1"/>
      </w:pPr>
      <w:r>
        <w:t>Standing rules for this engagement</w:t>
      </w:r>
    </w:p>
    <w:p>
      <w:pPr>
        <w:pStyle w:val="ListBullet"/>
      </w:pPr>
      <w:r>
        <w:t>Every number in an exhibit traces to a named input tab. If it cannot be traced, it does not go in the workbook.</w:t>
      </w:r>
    </w:p>
    <w:p>
      <w:pPr>
        <w:pStyle w:val="ListBullet"/>
      </w:pPr>
      <w:r>
        <w:t>Data questions go to Michelle Hudson through David Sherman or through me. Not from four directions at once.</w:t>
      </w:r>
    </w:p>
    <w:p>
      <w:pPr>
        <w:pStyle w:val="ListBullet"/>
      </w:pPr>
      <w:r>
        <w:t>Nothing goes to the client described as a result until Jennifer Vasquez has seen it.</w:t>
      </w:r>
    </w:p>
    <w:p>
      <w:pPr>
        <w:pStyle w:val="ListBullet"/>
      </w:pPr>
      <w:r>
        <w:t>If an extract looks like a different population than the last one, say so before anyone builds on it.</w:t>
      </w:r>
    </w:p>
    <w:p>
      <w:pPr>
        <w:pStyle w:val="Heading1"/>
      </w:pPr>
      <w:r>
        <w:t>Next steps</w:t>
      </w:r>
    </w:p>
    <w:p>
      <w:pPr>
        <w:pStyle w:val="ListBullet"/>
      </w:pPr>
      <w:r>
        <w:t>Issue the data request and confirm receipt with Michelle Hudson.</w:t>
      </w:r>
    </w:p>
    <w:p>
      <w:pPr>
        <w:pStyle w:val="ListBullet"/>
      </w:pPr>
      <w:r>
        <w:t>Stand up the workbook shell and the input tabs.</w:t>
      </w:r>
    </w:p>
    <w:p>
      <w:pPr>
        <w:pStyle w:val="ListBullet"/>
      </w:pPr>
      <w:r>
        <w:t>Circulate the assumption inventory once the reserve detail arrives.</w:t>
      </w:r>
    </w:p>
    <w:p>
      <w:pPr>
        <w:pStyle w:val="ListBullet"/>
      </w:pPr>
      <w:r>
        <w:t>Team check-in every other week until the data are reconciled, then weekly.</w:t>
      </w:r>
    </w:p>
    <w:p>
      <w:r>
        <w:t>The schedule has room in it. The part that costs time on this kind of review is the extract, not the arithmetic, and we have asked for it early enough that it should not cost us any. Flag anything that looks like it will move a date and I will adjust the plan rather than absorb it quietly.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Reserve Adequacy Review for Miller, Cook and Snyder</dc:title>
  <dc:subject/>
  <dc:creator>Megan Dudley</dc:creator>
  <cp:keywords/>
  <dc:description>generated by python-docx</dc:description>
  <cp:lastModifiedBy>Megan Dudley</cp:lastModifiedBy>
  <cp:revision>1</cp:revision>
  <dcterms:created xsi:type="dcterms:W3CDTF">2017-08-31T09:00:00Z</dcterms:created>
  <dcterms:modified xsi:type="dcterms:W3CDTF">2017-08-31T09:00:00Z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