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Reserve Adequacy Review</w:t>
      </w:r>
    </w:p>
    <w:p>
      <w:r>
        <w:t>Prepared for Miller, Cook and Snyder by Megan Dudley, Actuarial Associate. Covering the period since the last working session.</w:t>
      </w:r>
    </w:p>
    <w:p>
      <w:pPr>
        <w:pStyle w:val="Heading1"/>
      </w:pPr>
      <w:r>
        <w:t>Status summary</w:t>
      </w:r>
    </w:p>
    <w:p>
      <w:r>
        <w:t>The review is at its midpoint. It is on scope and within budget. It is not at the point in the plan we expected to reach by now, for a reason documented below that we do not regard as a problem yet. The data reconciliation, which the plan treated as a short front-end task, has run long because the extract supplied for this review draws on a different population than the prior valuation used. Everything downstream of the reconciliation sits behind it. The assumption review has proceeded in parallel and is substantially complete apart from one item.</w:t>
      </w:r>
    </w:p>
    <w:p>
      <w:r>
        <w:t>Stated in the order we prefer to state things. What the data show: the reconciliation is open on one plan, and the exhibits are partially built. What we are assuming: that the population difference resolves into an explained change in the extract logic rather than a change in what is being valued. What we conclude: the engagement can be delivered within the scope and fee of the engagement letter, provided the outstanding data question closes in the near term. The conclusion depends on the assumption, and we will say so again if the assumption stops holding.</w:t>
      </w:r>
    </w:p>
    <w:p>
      <w:pPr>
        <w:pStyle w:val="Heading1"/>
      </w:pPr>
      <w:r>
        <w:t>Accomplishments this period</w:t>
      </w:r>
    </w:p>
    <w:p>
      <w:pPr>
        <w:pStyle w:val="ListBullet"/>
      </w:pPr>
      <w:r>
        <w:t>Received and loaded the in-force extract and the reserve detail by plan.</w:t>
      </w:r>
    </w:p>
    <w:p>
      <w:pPr>
        <w:pStyle w:val="ListBullet"/>
      </w:pPr>
      <w:r>
        <w:t>Reconciled counts and totals for all plans but one against the prior valuation. David Sherman has documented the reconciliation and quantified the difference in the plan that does not tie.</w:t>
      </w:r>
    </w:p>
    <w:p>
      <w:pPr>
        <w:pStyle w:val="ListBullet"/>
      </w:pPr>
      <w:r>
        <w:t>Completed the inventory of assumptions in force and identified those changed since the prior valuation. Jennifer Vasquez has located documented basis for all of them except the lapse assumption.</w:t>
      </w:r>
    </w:p>
    <w:p>
      <w:pPr>
        <w:pStyle w:val="ListBullet"/>
      </w:pPr>
      <w:r>
        <w:t>Built the exhibit workbook shell and populated the tabs for the plans that reconcile. Each exhibit traces to a named input tab holding the extract as received.</w:t>
      </w:r>
    </w:p>
    <w:p>
      <w:pPr>
        <w:pStyle w:val="ListBullet"/>
      </w:pPr>
      <w:r>
        <w:t>Held a working session with your staff to walk the reconciliation and the assumption inventory, and agreed the treatment of any replacement extract.</w:t>
      </w:r>
    </w:p>
    <w:p>
      <w:pPr>
        <w:pStyle w:val="Heading1"/>
      </w:pPr>
      <w:r>
        <w:t>Upcoming work</w:t>
      </w:r>
    </w:p>
    <w:p>
      <w:pPr>
        <w:pStyle w:val="ListBullet"/>
      </w:pPr>
      <w:r>
        <w:t>Close the population question. If a replacement extract is required, reload from a full re-cut rather than a delta file.</w:t>
      </w:r>
    </w:p>
    <w:p>
      <w:pPr>
        <w:pStyle w:val="ListBullet"/>
      </w:pPr>
      <w:r>
        <w:t>Complete the calculated exhibits and put them through internal review.</w:t>
      </w:r>
    </w:p>
    <w:p>
      <w:pPr>
        <w:pStyle w:val="ListBullet"/>
      </w:pPr>
      <w:r>
        <w:t>Resolve the basis for the lapse assumption, or establish that no current study supports it and carry that as a finding rather than as a gap.</w:t>
      </w:r>
    </w:p>
    <w:p>
      <w:pPr>
        <w:pStyle w:val="ListBullet"/>
      </w:pPr>
      <w:r>
        <w:t>Draft the report. Jennifer Vasquez drafts; Robert Lawrence reviews and signs. Drafting does not begin until the exhibits are stable.</w:t>
      </w:r>
    </w:p>
    <w:p>
      <w:pPr>
        <w:pStyle w:val="ListBullet"/>
      </w:pPr>
      <w:r>
        <w:t>Deliver the workbook and the report and walk them with you before they go anywhere further.</w:t>
      </w:r>
    </w:p>
    <w:p>
      <w:pPr>
        <w:pStyle w:val="Heading1"/>
      </w:pPr>
      <w:r>
        <w:t>Risks</w:t>
      </w:r>
    </w:p>
    <w:p>
      <w:r>
        <w:t>Three, in the order we would rank them.</w:t>
      </w:r>
    </w:p>
    <w:p>
      <w:pPr>
        <w:pStyle w:val="ListBullet"/>
      </w:pPr>
      <w:r>
        <w:t>The population question stays open. This is the one that matters. Every remaining task sits behind it, and the elapsed time it costs is time your staff spend answering, not time we spend working. If it does not close in the next few weeks, the delivery date becomes a conversation.</w:t>
      </w:r>
    </w:p>
    <w:p>
      <w:pPr>
        <w:pStyle w:val="ListBullet"/>
      </w:pPr>
      <w:r>
        <w:t>The lapse assumption basis is never located. This does not stop the work. It changes what the report says, and it changes it in a direction that is uncomfortable rather than fatal: we would disclose that the assumption in force is not supported by a current study, and we would state what we did in its place.</w:t>
      </w:r>
    </w:p>
    <w:p>
      <w:pPr>
        <w:pStyle w:val="ListBullet"/>
      </w:pPr>
      <w:r>
        <w:t>Scope movement. Nothing has moved. We raise it because the fee of $78,000 is fixed against the scope in the engagement letter, and the requests that erode a scope are individually reasonable ones. A change in the valuation date, or an additional scenario, would be quoted before any work on it begins.</w:t>
      </w:r>
    </w:p>
    <w:p>
      <w:pPr>
        <w:pStyle w:val="Heading1"/>
      </w:pPr>
      <w:r>
        <w:t>Budget</w:t>
      </w:r>
    </w:p>
    <w:p>
      <w:r>
        <w:t>Fees incurred to date are consistent with the work performed and remain within the fixed fee of $78,000 for the engagement as scoped. The reconciliation has taken more hours than planned and the assumption review has taken fewer. There is no request for additional fee in this report and we do not anticipate one on the current scope.</w:t>
      </w:r>
    </w:p>
    <w:p>
      <w:pPr>
        <w:pStyle w:val="Heading1"/>
      </w:pPr>
      <w:r>
        <w:t>What we would ask of you</w:t>
      </w:r>
    </w:p>
    <w:p>
      <w:pPr>
        <w:pStyle w:val="ListBullet"/>
      </w:pPr>
      <w:r>
        <w:t>An answer on the extract selection criteria. This is the whole critical path and nothing else on this list competes with it.</w:t>
      </w:r>
    </w:p>
    <w:p>
      <w:pPr>
        <w:pStyle w:val="ListBullet"/>
      </w:pPr>
      <w:r>
        <w:t>A name for the lapse study, if one exists, or confirmation that it does not.</w:t>
      </w:r>
    </w:p>
    <w:p>
      <w:pPr>
        <w:pStyle w:val="ListBullet"/>
      </w:pPr>
      <w:r>
        <w:t>Continued routing of data questions through the single channel agreed at kickoff. Parallel requests cost more than they save.</w:t>
      </w:r>
    </w:p>
    <w:p>
      <w:r>
        <w:t>Nothing in this report is a conclusion about reserve adequacy. No conclusion has been reached and none will be until the exhibits are complete and reviewed. Questions on the work can come to me. Questions on scope should go to Robert Lawrence.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Reserve Adequacy Review for Miller, Cook and Snyder</dc:title>
  <dc:subject/>
  <dc:creator>Megan Dudley</dc:creator>
  <cp:keywords/>
  <dc:description>generated by python-docx</dc:description>
  <cp:lastModifiedBy>Megan Dudley</cp:lastModifiedBy>
  <cp:revision>1</cp:revision>
  <dcterms:created xsi:type="dcterms:W3CDTF">2017-12-04T09:00:00Z</dcterms:created>
  <dcterms:modified xsi:type="dcterms:W3CDTF">2017-12-04T09:00:00Z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