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Kickoff Memo: Funding Policy Study</w:t>
      </w:r>
    </w:p>
    <w:p>
      <w:r>
        <w:t>To: David Sherman</w:t>
        <w:br/>
        <w:t>From: Michelle Banks</w:t>
        <w:br/>
        <w:t>Re: Wells, Walsh and Martinez funding policy study, kickoff and workstreams</w:t>
      </w:r>
    </w:p>
    <w:p>
      <w:r>
        <w:t>The letter is countersigned and we have been on the clock since April 16, 2023. What Wells, Walsh and Martinez has asked for is a written funding policy: a rule that says how much the firm contributes to the plan in a given year and why, that can be applied in a year when we are not in the room, and that the partners can defend to each other when the number goes up. Robert Lawrence is responsible for it and will present it. He will want the study to say what the plan's own data show, then what we assumed in order to project it forward, then what we recommend, in that order and in separate paragraphs. We should build the working papers that way from the first week rather than reorganize them in the last one.</w:t>
      </w:r>
    </w:p>
    <w:p>
      <w:r>
        <w:t>It is worth being clear about what this is not, because the question will come up. We are not performing the plan's annual valuation and we are not certifying anything. We are not advising on how the assets are invested; if that is asked, the answer is that it is outside our scope and outside our qualification, not that we will take a look. We are not designing benefits. Anything that arrives in a hallway gets scoped in writing before it gets worked on.</w:t>
      </w:r>
    </w:p>
    <w:p>
      <w:pPr>
        <w:pStyle w:val="Heading2"/>
      </w:pPr>
      <w:r>
        <w:t>Workstreams</w:t>
      </w:r>
    </w:p>
    <w:p>
      <w:pPr>
        <w:pStyle w:val="ListBullet"/>
      </w:pPr>
      <w:r>
        <w:t>Current practice. David Sherman owns this. Document how the contribution has actually been determined: the cost method, the asset valuation method and any smoothing, and how the unfunded liability is being amortized and over what period. Separately, and this is the part that matters, what was contributed each year against what was indicated for that year. If those two diverge we write down that they diverge; we do not average it into a sentence about general consistency.</w:t>
      </w:r>
    </w:p>
    <w:p>
      <w:pPr>
        <w:pStyle w:val="ListBullet"/>
      </w:pPr>
      <w:r>
        <w:t>Data. Also David Sherman. Census, custodian statements, plan document and every amendment, the recent valuation reports with their exhibits, and the contribution history. Reconcile the census against the population in the most recent valuation before anything is built on it. If the extract is quietly a different population than the report describes, that is a finding, and it is due in the first two weeks rather than the last two.</w:t>
      </w:r>
    </w:p>
    <w:p>
      <w:pPr>
        <w:pStyle w:val="ListBullet"/>
      </w:pPr>
      <w:r>
        <w:t>Objectives. I will draft the objectives statement and take it to Lisa Hubbard, and I would rather have the firm's priorities in her words than in ours. Benefit security, contribution stability, and equity across partner cohorts trade against one another. A draft that records the firm wanting all three equally is a draft I have not finished.</w:t>
      </w:r>
    </w:p>
    <w:p>
      <w:pPr>
        <w:pStyle w:val="ListBullet"/>
      </w:pPr>
      <w:r>
        <w:t>Candidates and projections. Three alternatives at minimum, each written as a rule rather than as a figure. David Sherman builds the projection model and I specify the scenarios. Deterministic on the current assumptions and on stressed variants first; stochastic only where the spread of outcomes rather than a single path is what the decision turns on. Every assumption goes on the model's assumption sheet, not buried in a formula where a reviewer has to find it.</w:t>
      </w:r>
    </w:p>
    <w:p>
      <w:pPr>
        <w:pStyle w:val="ListBullet"/>
      </w:pPr>
      <w:r>
        <w:t>Recommendation and draft policy. I write it and Robert Lawrence reviews it before it goes anywhere. It ends with a policy the firm can adopt as written, including how often it is reviewed and what would trigger a review off cycle.</w:t>
      </w:r>
    </w:p>
    <w:p>
      <w:pPr>
        <w:pStyle w:val="Heading2"/>
      </w:pPr>
      <w:r>
        <w:t>Next Steps</w:t>
      </w:r>
    </w:p>
    <w:p>
      <w:pPr>
        <w:pStyle w:val="ListBullet"/>
      </w:pPr>
      <w:r>
        <w:t>David sends the itemized data request to Lisa Hubbard this week, with the field definitions attached so nobody on either side is guessing at codes.</w:t>
      </w:r>
    </w:p>
    <w:p>
      <w:pPr>
        <w:pStyle w:val="ListBullet"/>
      </w:pPr>
      <w:r>
        <w:t>I will ask Lisa Hubbard who at the firm decides the contribution today, and whether anything about that decision is already written down somewhere. If there is a memo in a drawer we would rather read it than reconstruct it.</w:t>
      </w:r>
    </w:p>
    <w:p>
      <w:pPr>
        <w:pStyle w:val="ListBullet"/>
      </w:pPr>
      <w:r>
        <w:t>David flags any gap in the amendment history before we assume the history we received is complete.</w:t>
      </w:r>
    </w:p>
    <w:p>
      <w:pPr>
        <w:pStyle w:val="ListBullet"/>
      </w:pPr>
      <w:r>
        <w:t>I will put the internal review with Robert Lawrence on the calendar now, far enough out that it can be a review rather than a signature.</w:t>
      </w:r>
    </w:p>
    <w:p>
      <w:pPr>
        <w:pStyle w:val="ListBullet"/>
      </w:pPr>
      <w:r>
        <w:t>No number leaves this team, in any form, until the census reconciliation is signed off. That includes a number in a sentence that begins with the word roughly.</w:t>
      </w:r>
    </w:p>
    <w:p>
      <w:r>
        <w:t>We are at the beginning, which is the cheapest point at which to discover that we have misunderstood the question. If any of the above reads differently to you than it does to me, say so this week.</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Funding Policy Study for Wells, Walsh and Martinez</dc:title>
  <dc:subject/>
  <dc:creator>Michelle Banks</dc:creator>
  <cp:keywords/>
  <dc:description>generated by python-docx</dc:description>
  <cp:lastModifiedBy>Michelle Banks</cp:lastModifiedBy>
  <cp:revision>1</cp:revision>
  <dcterms:created xsi:type="dcterms:W3CDTF">2023-04-19T09:00:00Z</dcterms:created>
  <dcterms:modified xsi:type="dcterms:W3CDTF">2023-04-19T09:00:00Z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