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Funding Policy Study</w:t>
      </w:r>
    </w:p>
    <w:p>
      <w:r>
        <w:t>Prepared for: Wells, Walsh and Martinez</w:t>
        <w:br/>
        <w:t>Prepared by: Michelle Banks, Actuarial Associate</w:t>
        <w:br/>
        <w:t>Covering: the period through the midpoint of the engagement</w:t>
      </w:r>
    </w:p>
    <w:p>
      <w:pPr>
        <w:pStyle w:val="Heading2"/>
      </w:pPr>
      <w:r>
        <w:t>Summary</w:t>
      </w:r>
    </w:p>
    <w:p>
      <w:r>
        <w:t>The study of the plan's funding policy is at roughly its midpoint and is on schedule. The current-practice review is complete, the census has been reconciled, and the objectives statement is drafted and with your office. The projection model is built and the base case runs. The candidate policies are specified and are being priced now. Nothing we have found so far changes our view that the work can be delivered within the scope and on the schedule set out in the engagement letter. Two data items remain open. Neither is holding up the analysis, and both will hold up the report if they stay open. That distinction is one this report will keep making.</w:t>
      </w:r>
    </w:p>
    <w:p>
      <w:pPr>
        <w:pStyle w:val="Heading2"/>
      </w:pPr>
      <w:r>
        <w:t>Completed This Period</w:t>
      </w:r>
    </w:p>
    <w:p>
      <w:pPr>
        <w:pStyle w:val="ListBullet"/>
      </w:pPr>
      <w:r>
        <w:t>Current practice documented. How the plan's contribution has been determined is now written down: the cost method, the asset valuation method and the smoothing it applies, and the amortization of the unfunded liability with the period over which it is being paid down. This is a description of what has been done. It is not a criticism of it, and it should not be read as one.</w:t>
      </w:r>
    </w:p>
    <w:p>
      <w:pPr>
        <w:pStyle w:val="ListBullet"/>
      </w:pPr>
      <w:r>
        <w:t>Census reconciled. David Sherman reconciled the participant extract against the population in the most recent valuation report. The two differ by nine records, each of which is individually explained: seven terminations processed after the extract date and two rehires appearing twice. No liability is affected. We record it because an unexplained difference discovered later is expensive and an explained one is not.</w:t>
      </w:r>
    </w:p>
    <w:p>
      <w:pPr>
        <w:pStyle w:val="ListBullet"/>
      </w:pPr>
      <w:r>
        <w:t>Contribution history assembled. The amounts actually contributed are now set against the amounts indicated for the same years. They diverge, and the divergence tracks the firm's own results rather than anything about the plan. We have measured this. We have not yet formed a view on it, and we would rather you saw the measurement before you saw our view.</w:t>
      </w:r>
    </w:p>
    <w:p>
      <w:pPr>
        <w:pStyle w:val="ListBullet"/>
      </w:pPr>
      <w:r>
        <w:t>Objectives drafted. Following the working session with your office, the statement records benefit security first and contribution stability second, with equity across partner cohorts identified and unresolved. It stays in draft until the projections show what the ranking costs.</w:t>
      </w:r>
    </w:p>
    <w:p>
      <w:pPr>
        <w:pStyle w:val="ListBullet"/>
      </w:pPr>
      <w:r>
        <w:t>Projection model built. It runs on the assumptions in the most recent valuation as its base case. The base case is what we were given. Anything we vary from it will be labeled in the report as ours.</w:t>
      </w:r>
    </w:p>
    <w:p>
      <w:pPr>
        <w:pStyle w:val="Heading2"/>
      </w:pPr>
      <w:r>
        <w:t>Work Underway and Upcoming</w:t>
      </w:r>
    </w:p>
    <w:p>
      <w:pPr>
        <w:pStyle w:val="ListBullet"/>
      </w:pPr>
      <w:r>
        <w:t>Price the three candidate policies deterministically, on the base case and on stressed variants around the discount rate and mortality improvement.</w:t>
      </w:r>
    </w:p>
    <w:p>
      <w:pPr>
        <w:pStyle w:val="ListBullet"/>
      </w:pPr>
      <w:r>
        <w:t>Run the stochastic work, limited to the questions where the spread of outcomes rather than a single path is what the decision turns on. We do not intend to run it where it would add decimal places and nothing else.</w:t>
      </w:r>
    </w:p>
    <w:p>
      <w:pPr>
        <w:pStyle w:val="ListBullet"/>
      </w:pPr>
      <w:r>
        <w:t>Resolve the equity question with your office, or record it as unresolved and show what each candidate does to it. Either is an acceptable outcome. Leaving it unstated is not.</w:t>
      </w:r>
    </w:p>
    <w:p>
      <w:pPr>
        <w:pStyle w:val="ListBullet"/>
      </w:pPr>
      <w:r>
        <w:t>Draft the written policy in adoptable form, including the review cadence and the conditions that would trigger a review off cycle.</w:t>
      </w:r>
    </w:p>
    <w:p>
      <w:pPr>
        <w:pStyle w:val="ListBullet"/>
      </w:pPr>
      <w:r>
        <w:t>Internal review by Robert Lawrence before any of it is presented to the firm.</w:t>
      </w:r>
    </w:p>
    <w:p>
      <w:pPr>
        <w:pStyle w:val="Heading2"/>
      </w:pPr>
      <w:r>
        <w:t>Budget</w:t>
      </w:r>
    </w:p>
    <w:p>
      <w:r>
        <w:t>The fixed fee for this engagement is $32,500. We are approximately half through the fee and approximately half through the work, and we do not expect to ask for more. The scope has not changed and nothing has arisen that we would characterize as outside it. If the missing amendment turns out to alter the plan's provisions in a way the recent valuations did not reflect, that would be a scope conversation, and it is one we would start with you before doing the work rather than after. We do not presently think that likely.</w:t>
      </w:r>
    </w:p>
    <w:p>
      <w:pPr>
        <w:pStyle w:val="Heading2"/>
      </w:pPr>
      <w:r>
        <w:t>Risks and Open Items</w:t>
      </w:r>
    </w:p>
    <w:p>
      <w:pPr>
        <w:pStyle w:val="ListBullet"/>
      </w:pPr>
      <w:r>
        <w:t>Missing amendment. The plan document refers to an amendment that is not in the material we received. It does not block the model, because the recent valuations appear to have valued the provisions as we understand them. It blocks the report, because we will not describe provisions we have not read. This is the item most likely to move the delivery date and it sits with your recordkeeper, not with us.</w:t>
      </w:r>
    </w:p>
    <w:p>
      <w:pPr>
        <w:pStyle w:val="ListBullet"/>
      </w:pPr>
      <w:r>
        <w:t>Custodian statements for one quarter. Outstanding. Low risk. The asset roll-forward completes once they arrive and the projections do not depend on them.</w:t>
      </w:r>
    </w:p>
    <w:p>
      <w:pPr>
        <w:pStyle w:val="ListBullet"/>
      </w:pPr>
      <w:r>
        <w:t>The equity question. It was not resolved at the working session and it will not resolve itself. It is a decision for Wells, Walsh and Martinez and not an actuarial one. We will show the consequences of each candidate for it and we will not choose for you.</w:t>
      </w:r>
    </w:p>
    <w:p>
      <w:pPr>
        <w:pStyle w:val="ListBullet"/>
      </w:pPr>
      <w:r>
        <w:t>Expectations about stability. Contribution stability, ranked second, is bought with contributions that are higher on average in the good years. That is arithmetic rather than opinion. If the firm sees the figure and finds it unacceptable, the objectives statement changes and the candidates change with it. That is an ordinary outcome at this stage and a disruptive one later, which is why we want the ranking tested against real figures before the policy is drafted.</w:t>
      </w:r>
    </w:p>
    <w:p>
      <w:pPr>
        <w:pStyle w:val="ListBullet"/>
      </w:pPr>
      <w:r>
        <w:t>Data quality generally. All of the above rests on information your office and your service providers have furnished. We have reviewed it for internal consistency and general reasonableness. We have not audited it, and we do not.</w:t>
      </w:r>
    </w:p>
    <w:p>
      <w:r>
        <w:t>David Sherman and I are available to walk through any of this by phone. If the missing amendment can be produced in the next two weeks, we do not at present see anything between here and delivery on the schedule we set.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Funding Policy Study for Wells, Walsh and Martinez</dc:title>
  <dc:subject/>
  <dc:creator>Michelle Banks</dc:creator>
  <cp:keywords/>
  <dc:description>generated by python-docx</dc:description>
  <cp:lastModifiedBy>Michelle Banks</cp:lastModifiedBy>
  <cp:revision>1</cp:revision>
  <dcterms:created xsi:type="dcterms:W3CDTF">2023-06-22T09:00:00Z</dcterms:created>
  <dcterms:modified xsi:type="dcterms:W3CDTF">2023-06-22T09:00:00Z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