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Funding Policy Study</w:t>
      </w:r>
    </w:p>
    <w:p>
      <w:r>
        <w:t>Re: Wells, Walsh and Martinez funding policy study, working session</w:t>
        <w:br/>
        <w:t>Recorded by: David Sherman</w:t>
      </w:r>
    </w:p>
    <w:p>
      <w:pPr>
        <w:pStyle w:val="Heading2"/>
      </w:pPr>
      <w:r>
        <w:t>Attendees</w:t>
      </w:r>
    </w:p>
    <w:p>
      <w:pPr>
        <w:pStyle w:val="ListBullet"/>
      </w:pPr>
      <w:r>
        <w:t>Michelle Banks, Actuarial Associate</w:t>
      </w:r>
    </w:p>
    <w:p>
      <w:pPr>
        <w:pStyle w:val="ListBullet"/>
      </w:pPr>
      <w:r>
        <w:t>David Sherman, Senior Analyst</w:t>
      </w:r>
    </w:p>
    <w:p>
      <w:pPr>
        <w:pStyle w:val="ListBullet"/>
      </w:pPr>
      <w:r>
        <w:t>Lisa Hubbard, Chief Operating Officer, Wells, Walsh and Martinez</w:t>
      </w:r>
    </w:p>
    <w:p>
      <w:pPr>
        <w:pStyle w:val="Heading2"/>
      </w:pPr>
      <w:r>
        <w:t>Discussion</w:t>
      </w:r>
    </w:p>
    <w:p>
      <w:r>
        <w:t>Session ran ninety minutes at the client's offices. Purpose was to walk through the current-practice findings and move the objectives statement toward something the firm will sign. Minutes below record what was said and what was agreed. Where they record a view rather than a decision, that is marked.</w:t>
      </w:r>
    </w:p>
    <w:p>
      <w:r>
        <w:t>Current practice. Documented and circulated ahead of the session: the cost method, the asset valuation method and the smoothing it applies, and the amortization of the unfunded liability with the period over which it runs. Lisa Hubbard had no corrections to the description. She asked whether the amortization period was chosen or inherited and the honest answer is that the material we have does not say. Noted as an open question rather than guessed at.</w:t>
      </w:r>
    </w:p>
    <w:p>
      <w:r>
        <w:t>Census. Reconciled against the population in the most recent valuation report. The two differ by nine records and each one is accounted for: seven terminations processed after the extract date, two rehires appearing twice. No liability is affected. Raised here because an unexplained difference found in review later costs more than an explained one recorded now.</w:t>
      </w:r>
    </w:p>
    <w:p>
      <w:r>
        <w:t>Contribution history. This is the finding. Across the years covered by the material we were given, the amount contributed sits at the low end of the indicated range in some years and the high end in others, and the pattern follows the firm's own results rather than anything about the plan. Michelle Banks made the point that this is a description and not a criticism: absent a written policy there was no rule to depart from. Lisa Hubbard did not dispute the pattern. She said the decision is made each year in the compensation committee with the valuation report in front of it and no written standard applied to it.</w:t>
      </w:r>
    </w:p>
    <w:p>
      <w:r>
        <w:t>Objectives. Lisa Hubbard ranked benefit security first and contribution stability second, and said the firm can live with a contribution that is higher on average if it is predictable. Equity across partner cohorts came up and was not resolved. Michelle Banks noted that the ranking as stated will steer the candidates toward a fixed-percentage rule with a corridor, and that the firm ought to see what that costs in a good year before it commits rather than after. Agreed the objectives statement stays in draft until the projections are run against it.</w:t>
      </w:r>
    </w:p>
    <w:p>
      <w:r>
        <w:t>Assumptions. Nothing recommended and nothing changed. Projections will use the assumptions in the most recent valuation as the base case, with stressed variants around the discount rate and mortality improvement. For the record: the base case is what we were given, the variants are ours, and neither one is a forecast.</w:t>
      </w:r>
    </w:p>
    <w:p>
      <w:r>
        <w:t>Open data. The amendment the plan document references but that is not in what we received, and the custodian's statements for one quarter. Neither blocks the model. Both block the report.</w:t>
      </w:r>
    </w:p>
    <w:p>
      <w:r>
        <w:t>Next session in three weeks, on the candidate policies. Lisa Hubbard asked whether the projections can be shown as a range rather than as a line. They can, and they will be.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Circulate the current-practice memo with the census reconciliation appended</w:t>
            </w:r>
          </w:p>
        </w:tc>
        <w:tc>
          <w:tcPr>
            <w:tcW w:type="dxa" w:w="2880"/>
          </w:tcPr>
          <w:p>
            <w:r>
              <w:t>David Sherman</w:t>
            </w:r>
          </w:p>
        </w:tc>
        <w:tc>
          <w:tcPr>
            <w:tcW w:type="dxa" w:w="2880"/>
          </w:tcPr>
          <w:p>
            <w:r>
              <w:t>This week</w:t>
            </w:r>
          </w:p>
        </w:tc>
      </w:tr>
      <w:tr>
        <w:tc>
          <w:tcPr>
            <w:tcW w:type="dxa" w:w="2880"/>
          </w:tcPr>
          <w:p>
            <w:r>
              <w:t>Revise the objectives statement to reflect the ranking; hold in draft</w:t>
            </w:r>
          </w:p>
        </w:tc>
        <w:tc>
          <w:tcPr>
            <w:tcW w:type="dxa" w:w="2880"/>
          </w:tcPr>
          <w:p>
            <w:r>
              <w:t>Michelle Banks</w:t>
            </w:r>
          </w:p>
        </w:tc>
        <w:tc>
          <w:tcPr>
            <w:tcW w:type="dxa" w:w="2880"/>
          </w:tcPr>
          <w:p>
            <w:r>
              <w:t>Before next session</w:t>
            </w:r>
          </w:p>
        </w:tc>
      </w:tr>
      <w:tr>
        <w:tc>
          <w:tcPr>
            <w:tcW w:type="dxa" w:w="2880"/>
          </w:tcPr>
          <w:p>
            <w:r>
              <w:t>Produce the missing amendment and the outstanding custodian statements</w:t>
            </w:r>
          </w:p>
        </w:tc>
        <w:tc>
          <w:tcPr>
            <w:tcW w:type="dxa" w:w="2880"/>
          </w:tcPr>
          <w:p>
            <w:r>
              <w:t>Lisa Hubbard</w:t>
            </w:r>
          </w:p>
        </w:tc>
        <w:tc>
          <w:tcPr>
            <w:tcW w:type="dxa" w:w="2880"/>
          </w:tcPr>
          <w:p>
            <w:r>
              <w:t>Two weeks</w:t>
            </w:r>
          </w:p>
        </w:tc>
      </w:tr>
      <w:tr>
        <w:tc>
          <w:tcPr>
            <w:tcW w:type="dxa" w:w="2880"/>
          </w:tcPr>
          <w:p>
            <w:r>
              <w:t>Specify the three candidate policies as written rules, not figures</w:t>
            </w:r>
          </w:p>
        </w:tc>
        <w:tc>
          <w:tcPr>
            <w:tcW w:type="dxa" w:w="2880"/>
          </w:tcPr>
          <w:p>
            <w:r>
              <w:t>Michelle Banks</w:t>
            </w:r>
          </w:p>
        </w:tc>
        <w:tc>
          <w:tcPr>
            <w:tcW w:type="dxa" w:w="2880"/>
          </w:tcPr>
          <w:p>
            <w:r>
              <w:t>Before next session</w:t>
            </w:r>
          </w:p>
        </w:tc>
      </w:tr>
      <w:tr>
        <w:tc>
          <w:tcPr>
            <w:tcW w:type="dxa" w:w="2880"/>
          </w:tcPr>
          <w:p>
            <w:r>
              <w:t>Run deterministic projections on the base case and the stressed variants</w:t>
            </w:r>
          </w:p>
        </w:tc>
        <w:tc>
          <w:tcPr>
            <w:tcW w:type="dxa" w:w="2880"/>
          </w:tcPr>
          <w:p>
            <w:r>
              <w:t>David Sherman</w:t>
            </w:r>
          </w:p>
        </w:tc>
        <w:tc>
          <w:tcPr>
            <w:tcW w:type="dxa" w:w="2880"/>
          </w:tcPr>
          <w:p>
            <w:r>
              <w:t>Before next session</w:t>
            </w:r>
          </w:p>
        </w:tc>
      </w:tr>
      <w:tr>
        <w:tc>
          <w:tcPr>
            <w:tcW w:type="dxa" w:w="2880"/>
          </w:tcPr>
          <w:p>
            <w:r>
              <w:t>Confirm who adopts the policy: the compensation committee or the partners</w:t>
            </w:r>
          </w:p>
        </w:tc>
        <w:tc>
          <w:tcPr>
            <w:tcW w:type="dxa" w:w="2880"/>
          </w:tcPr>
          <w:p>
            <w:r>
              <w:t>Lisa Hubbard</w:t>
            </w:r>
          </w:p>
        </w:tc>
        <w:tc>
          <w:tcPr>
            <w:tcW w:type="dxa" w:w="2880"/>
          </w:tcPr>
          <w:p>
            <w:r>
              <w:t>Next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Funding Policy Study for Wells, Walsh and Martinez</dc:title>
  <dc:subject/>
  <dc:creator>David Sherman</dc:creator>
  <cp:keywords/>
  <dc:description>generated by python-docx</dc:description>
  <cp:lastModifiedBy>David Sherman</cp:lastModifiedBy>
  <cp:revision>1</cp:revision>
  <dcterms:created xsi:type="dcterms:W3CDTF">2023-06-08T09:00:00Z</dcterms:created>
  <dcterms:modified xsi:type="dcterms:W3CDTF">2023-06-08T09:00:00Z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