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 Overview</w:t>
      </w:r>
    </w:p>
    <w:p>
      <w:r>
        <w:t>Meridian Actuarial Advisors LLC is a consulting actuarial practice. We measure defined benefit obligations, analyze what it costs to fund them, and issue the opinions and certifications that accompany that work. We do not administer benefits, sell investment products, or place insurance. What a client buys from this firm is a conclusion, the working papers that support it, and a name at the bottom of the page.</w:t>
      </w:r>
    </w:p>
    <w:p>
      <w:r>
        <w:t>The practice keeps three things apart in everything it writes: what the data show, what was assumed, and what the actuary concludes. Those are different kinds of statement and they carry different weight. A reader who cannot tell them apart in one of our reports should say so, because the report is defective.</w:t>
      </w:r>
    </w:p>
    <w:p>
      <w:pPr>
        <w:pStyle w:val="Heading2"/>
      </w:pPr>
      <w:r>
        <w:t>Services</w:t>
      </w:r>
    </w:p>
    <w:p>
      <w:r>
        <w:t>The firm is organized to serve the trustees, sponsors, and finance staff who are accountable for a defined benefit obligation, whatever form the plan takes. The service lines are narrow on purpose.</w:t>
      </w:r>
    </w:p>
    <w:p>
      <w:pPr>
        <w:pStyle w:val="ListBullet"/>
      </w:pPr>
      <w:r>
        <w:t>Scheduled and interim actuarial valuations, with the supporting exhibits</w:t>
      </w:r>
    </w:p>
    <w:p>
      <w:pPr>
        <w:pStyle w:val="ListBullet"/>
      </w:pPr>
      <w:r>
        <w:t>Funding and contribution analysis, including projections under alternative assumption sets</w:t>
      </w:r>
    </w:p>
    <w:p>
      <w:pPr>
        <w:pStyle w:val="ListBullet"/>
      </w:pPr>
      <w:r>
        <w:t>Experience studies and periodic assumption reviews</w:t>
      </w:r>
    </w:p>
    <w:p>
      <w:pPr>
        <w:pStyle w:val="ListBullet"/>
      </w:pPr>
      <w:r>
        <w:t>Statements of actuarial opinion and the certifications required by statute, by regulation, or by a plan's governing documents</w:t>
      </w:r>
    </w:p>
    <w:p>
      <w:pPr>
        <w:pStyle w:val="ListBullet"/>
      </w:pPr>
      <w:r>
        <w:t>Assistance to boards, trustees, and client auditors on actuarial questions that arise between valuation cycles</w:t>
      </w:r>
    </w:p>
    <w:p>
      <w:r>
        <w:t>Work is performed under the applicable Actuarial Standards of Practice. Where a standard permits a range of methods, we state which method we used and why. Where a result depends on an assumption the client selected rather than one we recommended, we state that as well, and we state what we think of it.</w:t>
      </w:r>
    </w:p>
    <w:p>
      <w:pPr>
        <w:pStyle w:val="Heading2"/>
      </w:pPr>
      <w:r>
        <w:t>How an engagement runs</w:t>
      </w:r>
    </w:p>
    <w:p>
      <w:r>
        <w:t>Every engagement begins with an engagement letter. The letter sets out the scope of the work, the data we will rely on and who is responsible for furnishing it, the standards the work is performed under, the deliverables, and the fee basis. Nothing leaves this office without that paragraph. Carol Cooper, who manages the practice, holds documents that are missing it, and she is right to hold them.</w:t>
      </w:r>
    </w:p>
    <w:p>
      <w:r>
        <w:t>We rely on data furnished by the client. We test it for reasonableness and for internal consistency, we reconcile it to the prior measurement, and we report what the testing found. We do not audit it, and the report says so. A valuation is only as good as the census behind it. That is not a disclaimer; it is a fact about the arithmetic.</w:t>
      </w:r>
    </w:p>
    <w:p>
      <w:pPr>
        <w:pStyle w:val="Heading2"/>
      </w:pPr>
      <w:r>
        <w:t>Deliverables</w:t>
      </w:r>
    </w:p>
    <w:p>
      <w:r>
        <w:t>A valuation typically arrives as two documents and a meeting. The exhibits come as a workbook: liabilities, normal cost, assets, development of the contribution, and the reconciliation between this measurement and the last. The report interprets the workbook in ordinary language and carries the opinion. Where a board wants the results presented, we present them, one chart to a slide and no decoration, and the actuary who did the work answers the questions that are asked.</w:t>
      </w:r>
    </w:p>
    <w:p>
      <w:pPr>
        <w:pStyle w:val="Heading2"/>
      </w:pPr>
      <w:r>
        <w:t>Representative work</w:t>
      </w:r>
    </w:p>
    <w:p>
      <w:r>
        <w:t>The firm's engagement of record is with Howard and Sons. It is representative of the practice: an obligation measured on a schedule, the assumptions behind the measurement stated where a reader can find them without asking, and a result the client's own advisors can retrace. We would rather be engaged for the second valuation than for the first, because the second is where the reconciliation tells you whether the first was any good.</w:t>
      </w:r>
    </w:p>
    <w:p>
      <w:r>
        <w:t>Prospective clients ask what makes this practice worth engaging, and the honest answer is unremarkable. We do the work on the schedule we agreed to. We explain the number in language a trustee can use in a meeting without an actuary standing next to him. We qualify what deserves qualification and we leave the rest alone, because a hedge attached to every sentence conveys nothing at all.</w:t>
      </w:r>
    </w:p>
    <w:p>
      <w:pPr>
        <w:pStyle w:val="Heading2"/>
      </w:pPr>
      <w:r>
        <w:t>Staffing</w:t>
      </w:r>
    </w:p>
    <w:p>
      <w:r>
        <w:t>The firm is small, and every engagement is staffed by people whose names the client will learn. There is no arrangement here in which the person who wins the work and the person who does it are different people. The actuary who signs the opinion has read the working papers. That is a constraint on how fast this practice can grow, and we have decided we would rather be constrained by it than explain, later, why nobody senior looked at the file.</w:t>
      </w:r>
    </w:p>
    <w:p>
      <w:r>
        <w:t>Robert Lawrence, Managing Actuary, is responsible for the opinions this firm issues and signs them. Questions of scope, timing, or fees should go to Carol Cooper in the first instance, and she will bring in whoever needs to answer them.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Robert Lawrence</dc:creator>
  <cp:keywords/>
  <dc:description>generated by python-docx</dc:description>
  <cp:lastModifiedBy>Robert Lawrence</cp:lastModifiedBy>
  <cp:revision>1</cp:revision>
  <dcterms:created xsi:type="dcterms:W3CDTF">2016-05-17T09:00:00Z</dcterms:created>
  <dcterms:modified xsi:type="dcterms:W3CDTF">2016-05-17T09:00:00Z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