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Meridian Actuarial Advisors LLC</w:t>
      </w:r>
    </w:p>
    <w:p>
      <w:pPr>
        <w:pStyle w:val="Heading2"/>
      </w:pPr>
      <w:r>
        <w:t>Firm Overview</w:t>
      </w:r>
    </w:p>
    <w:p>
      <w:r>
        <w:t>Meridian Actuarial Advisors is a consulting actuarial practice. We measure benefit obligations, we test whether the money set aside to meet them is sufficient, and we put our names on the opinion that says so. Our clients are public pension boards, a life insurer, and multiemployer benefit funds. In every case the work ends in a document that somebody else has to be able to rely on, and we write it accordingly.</w:t>
      </w:r>
    </w:p>
    <w:p>
      <w:r>
        <w:t>We are a small practice and we intend to stay a practice rather than become an institution. The people who do the analysis are the people who present it. A client who calls us gets the actuary who ran the numbers, not an account manager who will find out and call back.</w:t>
      </w:r>
    </w:p>
    <w:p>
      <w:pPr>
        <w:pStyle w:val="Heading2"/>
      </w:pPr>
      <w:r>
        <w:t>Service Lines</w:t>
      </w:r>
    </w:p>
    <w:p>
      <w:pPr>
        <w:pStyle w:val="ListBullet"/>
      </w:pPr>
      <w:r>
        <w:t>Funding valuations of defined benefit pension plans, with the supporting exhibits, the gain and loss analysis, and the disclosure schedules an auditor will ask for.</w:t>
      </w:r>
    </w:p>
    <w:p>
      <w:pPr>
        <w:pStyle w:val="ListBullet"/>
      </w:pPr>
      <w:r>
        <w:t>Reserve adequacy review for life and annuity business, including asset adequacy testing and review of the assumptions underlying the reserves.</w:t>
      </w:r>
    </w:p>
    <w:p>
      <w:pPr>
        <w:pStyle w:val="ListBullet"/>
      </w:pPr>
      <w:r>
        <w:t>Experience studies: what the plan population actually did, measured against what the assumptions said it would do, and a recommendation on which assumptions should change.</w:t>
      </w:r>
    </w:p>
    <w:p>
      <w:pPr>
        <w:pStyle w:val="ListBullet"/>
      </w:pPr>
      <w:r>
        <w:t>Retiree medical and other postemployment benefit valuations, including trend assumptions and the accounting disclosures that follow from them.</w:t>
      </w:r>
    </w:p>
    <w:p>
      <w:pPr>
        <w:pStyle w:val="ListBullet"/>
      </w:pPr>
      <w:r>
        <w:t>Board and trustee support: education sessions, plain presentation of results, and answers to the questions actually asked.</w:t>
      </w:r>
    </w:p>
    <w:p>
      <w:pPr>
        <w:pStyle w:val="Heading2"/>
      </w:pPr>
      <w:r>
        <w:t>Representative Work</w:t>
      </w:r>
    </w:p>
    <w:p>
      <w:r>
        <w:t>For Howard and Sons we performed a funding valuation of the sponsored defined benefit pension plan: reconciliation of the participant census against the prior valuation, development of the liabilities on the plan's funding basis, an attribution of the change in funded position to its sources, and a recommendation on the contribution. The engagement produced a report, a workbook of exhibits behind every number in it, and the schedules the sponsor's auditors required.</w:t>
      </w:r>
    </w:p>
    <w:p>
      <w:r>
        <w:t>For Miller, Cook and Snyder we conducted a reserve adequacy review. The question there was narrower and harder: whether the reserves held would be sufficient under a range of scenarios rather than under one set of assumptions, and what the answer depended on. We reported the measurement, the assumptions, and our conclusion as three separate things, which is how a reader can tell which of them to argue with.</w:t>
      </w:r>
    </w:p>
    <w:p>
      <w:r>
        <w:t>For Estes Group we completed an experience study comparing several years of plan experience against the assumptions in force. Some assumptions were left alone. Where the data supported a change we recommended one and showed the effect on the liability; where the data were thin we said the data were thin and recommended waiting. A study that recommends changing everything it looked at is usually a study that mistook noise for a signal.</w:t>
      </w:r>
    </w:p>
    <w:p>
      <w:r>
        <w:t>For Martinez LLC we valued a retiree medical program. Medical trend is the assumption that drives that result and it is the assumption nobody can know, so we set out what we assumed, showed what the obligation would be if we were wrong in either direction, and left the board in a position to weigh that themselves rather than take our word for it.</w:t>
      </w:r>
    </w:p>
    <w:p>
      <w:pPr>
        <w:pStyle w:val="Heading2"/>
      </w:pPr>
      <w:r>
        <w:t>How We Work</w:t>
      </w:r>
    </w:p>
    <w:p>
      <w:r>
        <w:t>Our work is performed under the applicable Actuarial Standards of Practice and the Code of Professional Conduct, and our reports say plainly which standards apply to them. We rely on data supplied by the client and by the plan's administrators and record holders. We test that data for reasonableness and internal consistency, we tell you what we tested and what we did not, and we do not audit it. Where a reliance is material to the result, the report says so on its face rather than in a footnote.</w:t>
      </w:r>
    </w:p>
    <w:p>
      <w:r>
        <w:t>Our reports separate measurement from judgment. What the data show is one paragraph. What was assumed is the next. What the actuary concludes is the third. Trustees are asked to make decisions on our work, and they cannot do that if the number and the opinion about the number arrive fused together.</w:t>
      </w:r>
    </w:p>
    <w:p>
      <w:r>
        <w:t>We qualify what should be qualified. A hedge in an actuarial report is not hesitation; it is the accurate width of the answer. An estimate presented without its uncertainty is not more useful than one presented with it, only more comfortable, and the comfort is borrowed against somebody else's balance sheet.</w:t>
      </w:r>
    </w:p>
    <w:p>
      <w:pPr>
        <w:pStyle w:val="Heading2"/>
      </w:pPr>
      <w:r>
        <w:t>Presentation</w:t>
      </w:r>
    </w:p>
    <w:p>
      <w:r>
        <w:t>Our board decks are plain: one chart to a slide, the point of the slide written on it, and nothing on the page that is not load-bearing. Between formal deliverables we are reachable by email and we answer questions about data and assumptions as they come up rather than saving them for a meeting. Nobody has ever complained that a valuation report was too easy to follow.</w:t>
      </w:r>
    </w:p>
    <w:p>
      <w:r>
        <w:t>Inquiries about the firm or about a proposed engagement may be directed to Robert Lawrence, Managing Actuary.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Robert Lawrence</dc:creator>
  <cp:keywords/>
  <dc:description>generated by python-docx</dc:description>
  <cp:lastModifiedBy>Robert Lawrence</cp:lastModifiedBy>
  <cp:revision>1</cp:revision>
  <dcterms:created xsi:type="dcterms:W3CDTF">2022-05-16T09:00:00Z</dcterms:created>
  <dcterms:modified xsi:type="dcterms:W3CDTF">2022-05-16T09:00:00Z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