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Amanda White</w:t>
      </w:r>
    </w:p>
    <w:p>
      <w:r>
        <w:t>Amanda White joins the firm as an Actuarial Associate in the consulting practice. The record below is what she was told on arrival.</w:t>
      </w:r>
    </w:p>
    <w:p>
      <w:r>
        <w:t>Her work will be valuation support: census and asset file intake, data reconciliation, exhibit preparation, and the correspondence with client staff that keeps a data request from turning into three weeks of silence. She has more aptitude for that correspondence than most associates at her stage, and I intend to use it, within limits. A note that gets an answer the same day is worth a great deal to an engagement running against a reporting deadline. It is worth nothing at all if it commits us to something we have not measured. She sits with the consulting staff. Anything she sends outside the firm comes past a credentialed actuary first, which is the rule for everyone and not a judgment about her.</w:t>
      </w:r>
    </w:p>
    <w:p>
      <w:r>
        <w:t>Logistics for the first period are ordinary. Workstation, network account, and engagement file access on day one. Timekeeping, benefits, and the exam support policy with the practice manager in the first week; the exam schedule is her own to manage, and she should tell us her sittings early enough that we can staff around them rather than late enough that we cannot. She reads the engagement letter for a client before she works on that client, every time, and she should expect to be asked what the scope paragraph says. Client data stays in the office and stays inside the firm.</w:t>
      </w:r>
    </w:p>
    <w:p>
      <w:r>
        <w:t>One habit to learn early, because it is the habit this firm is built on: state what the data show, then what was assumed, then what you conclude, and do not let one sentence carry two of those. Associates arrive stating conclusions a shade more firmly than the evidence supports. It is common, it is correctable, and we correct it in review, which is why the review exists. Amanda White should not take the red ink personally. A qualifier in an actuarial report is not timidity, it is accuracy, and she will understand the difference the first time somebody reads a sentence of hers back to her in a room where it matters. Until then she can take it on my authority, which is the only shortcut on offer here.</w:t>
      </w:r>
    </w:p>
    <w:p>
      <w:r>
        <w:t>Robert Lawrence, Managing Actuary. Copy to the personnel file.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Amanda White</dc:title>
  <dc:subject/>
  <dc:creator>Robert Lawrence</dc:creator>
  <cp:keywords/>
  <dc:description>generated by python-docx</dc:description>
  <cp:lastModifiedBy>Robert Lawrence</cp:lastModifiedBy>
  <cp:revision>1</cp:revision>
  <dcterms:created xsi:type="dcterms:W3CDTF">2018-08-13T09:00:00Z</dcterms:created>
  <dcterms:modified xsi:type="dcterms:W3CDTF">2018-08-13T09:00:00Z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