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Linda Hanna</w:t>
      </w:r>
    </w:p>
    <w:p>
      <w:r>
        <w:t>Linda Hanna joins the firm as Practice Manager in operations. This note records her role and what was said to her in her first days, so that the file has it.</w:t>
      </w:r>
    </w:p>
    <w:p>
      <w:r>
        <w:t>She owns engagement administration and the paper trail behind it: engagement letters from draft through execution, the deliverable calendar, version control on working files, billing intake, and the correspondence log for each engagement. That is not a support function arranged around the edges of the actuarial work. A firm whose letters are vague and whose files are disordered will eventually be asked to prove what it agreed to do and when it agreed to do it, and it will not be able to. The exhibits can be rebuilt from the data. The record of what was promised cannot be rebuilt from anything.</w:t>
      </w:r>
    </w:p>
    <w:p>
      <w:r>
        <w:t>First-period logistics: workstation, network account, and file access on arrival; access to the deliverable calendar and the billing records in the first week. In her first month she should read every open engagement letter, and read them the way an outsider would rather than the way the people who wrote them remember writing them. If a scope paragraph is vague, it is vague, and I want to hear about it while the engagement is still running and the sentence can still be fixed. She holds the calendar, and I expect her to hold it against me on the same terms she holds it against everyone else; a deadline that bends for the Managing Actuary is not a deadline, it is a preference. Client data stays in the office and inside the firm, and that applies to the administrative record as much as to the census files.</w:t>
      </w:r>
    </w:p>
    <w:p>
      <w:r>
        <w:t>Linda Hanna comes to us already knowing this kind of work, so what she has to learn here is mostly which of our habits are considered and which are merely old. There are more of the second kind than we would like to admit. She is entitled to ask which is which in any given case, and entitled to a straight answer rather than an explanation of how we have always done it.</w:t>
      </w:r>
    </w:p>
    <w:p>
      <w:r>
        <w:t>Recorded by 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Linda Hanna</dc:title>
  <dc:subject/>
  <dc:creator>Robert Lawrence</dc:creator>
  <cp:keywords/>
  <dc:description>generated by python-docx</dc:description>
  <cp:lastModifiedBy>Robert Lawrence</cp:lastModifiedBy>
  <cp:revision>1</cp:revision>
  <dcterms:created xsi:type="dcterms:W3CDTF">2020-01-16T09:00:00Z</dcterms:created>
  <dcterms:modified xsi:type="dcterms:W3CDTF">2020-01-16T09:00:00Z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