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Karen Harris</w:t>
      </w:r>
    </w:p>
    <w:p>
      <w:r>
        <w:t>Filed by Robert Lawrence, Managing Actuary. For the personnel file and the Consulting group's records.</w:t>
      </w:r>
    </w:p>
    <w:p>
      <w:r>
        <w:t>Karen Harris starts with us today as an Actuarial Associate in the Consulting group. She arrives at a point where the book of work is growing faster than the staff is, which is a good problem to have and one she is part of the answer to. She is welcome here, and I would rather say so in writing than assume it was understood.</w:t>
      </w:r>
    </w:p>
    <w:p>
      <w:pPr>
        <w:pStyle w:val="Heading2"/>
      </w:pPr>
      <w:r>
        <w:t>Role and Reporting</w:t>
      </w:r>
    </w:p>
    <w:p>
      <w:r>
        <w:t>Karen sits in Consulting and reports to me. Her work is valuation support to begin with: census reconciliation, exhibit preparation, and the checking passes that stand behind an exhibit before anyone signs anything. She will also carry a share of the routine client correspondence about data files and data requests. That is not clerical work. The quality of a valuation is largely set at the point where the data comes in the door, and the person who asks the plan administrator a precise question is doing actuarial work whether or not it looks like it from the outside.</w:t>
      </w:r>
    </w:p>
    <w:p>
      <w:pPr>
        <w:pStyle w:val="Heading2"/>
      </w:pPr>
      <w:r>
        <w:t>First Period</w:t>
      </w:r>
    </w:p>
    <w:p>
      <w:r>
        <w:t>Her first week is administrative: accounts and access, the file structure, the standards library, and a walk through a completed working paper file so she can see what a finished job looks like before she is asked to build one. Through her first month she shadows the valuation work rather than owning a piece of it, and I have asked her to spend that month reading rather than producing. After that she takes exhibits of her own with a reviewer over them, and the reviewer stays over them for a good while. Nothing leaves here with one set of eyes on it, and that is a rule about the work, not about her.</w:t>
      </w:r>
    </w:p>
    <w:p>
      <w:pPr>
        <w:pStyle w:val="Heading2"/>
      </w:pPr>
      <w:r>
        <w:t>Expectations</w:t>
      </w:r>
    </w:p>
    <w:p>
      <w:r>
        <w:t>What we expect of her is what we expect of everyone. Keep what the data show, what was assumed, and what we conclude in separate sentences, and do not let one borrow authority from another. Raise an anomaly early and in plain language rather than resolving it quietly and mentioning it later. Say you do not know when you do not know; it costs nothing here and it is considerably cheaper than the alternative. Karen has a good instinct for what a trustee will actually look at on a page, which is not a common thing to arrive with, and I would sooner sharpen that than train it out of her.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Karen Harris</dc:title>
  <dc:subject/>
  <dc:creator>Robert Lawrence</dc:creator>
  <cp:keywords/>
  <dc:description>generated by python-docx</dc:description>
  <cp:lastModifiedBy>Robert Lawrence</cp:lastModifiedBy>
  <cp:revision>1</cp:revision>
  <dcterms:created xsi:type="dcterms:W3CDTF">2021-11-02T09:00:00Z</dcterms:created>
  <dcterms:modified xsi:type="dcterms:W3CDTF">2021-11-02T09:00:00Z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