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Nicole Hanna</w:t>
      </w:r>
    </w:p>
    <w:p>
      <w:r>
        <w:t>Prepared by Robert Lawrence, Managing Actuary. Copy to the personnel file.</w:t>
      </w:r>
    </w:p>
    <w:p>
      <w:r>
        <w:t>Nicole Hanna joins the Consulting group today as an Actuarial Associate. She is early in the practice and we hired her that way on purpose. The mechanical work of a valuation is learned by doing it under someone who has done it, and there is a limit to how much of that can be skipped.</w:t>
      </w:r>
    </w:p>
    <w:p>
      <w:pPr>
        <w:pStyle w:val="Heading2"/>
      </w:pPr>
      <w:r>
        <w:t>Role and Reporting</w:t>
      </w:r>
    </w:p>
    <w:p>
      <w:r>
        <w:t>Nicole reports to me and works across the consulting engagements as the schedule requires; she is not assigned to one client. Her first responsibilities are the mechanical passes: census reconciliation, tie-outs between the workbook and the report, and the checks that confirm an exhibit says what the exhibit behind it says. Work of that kind is the foundation the rest of the report stands on, and it is given to the newest person here because it is where the newest person learns what the numbers are made of, not because it is unimportant.</w:t>
      </w:r>
    </w:p>
    <w:p>
      <w:pPr>
        <w:pStyle w:val="Heading2"/>
      </w:pPr>
      <w:r>
        <w:t>First Period</w:t>
      </w:r>
    </w:p>
    <w:p>
      <w:r>
        <w:t>The first week is accounts, access, the standards library, and the working paper conventions, which are not optional and are not a matter of taste. She should read two or three completed files end to end before she touches a live one. Through her first month she works alongside the associates on current engagements with everything she produces reviewed line by line, and I would rather she ask three questions than guess once. Her drafts will be marked up heavily and that is not a verdict on her; the review is heavy here for everybody, and the day it stops being heavy is the day to worry.</w:t>
      </w:r>
    </w:p>
    <w:p>
      <w:pPr>
        <w:pStyle w:val="Heading2"/>
      </w:pPr>
      <w:r>
        <w:t>Expectations</w:t>
      </w:r>
    </w:p>
    <w:p>
      <w:r>
        <w:t>Two things I will keep saying to her until they are habit. First, the sentence that reports a number and the sentence that judges it are different sentences, and they belong in different paragraphs; a draft that blends them will come back. Second, when a figure will not reconcile, say so while it will not reconcile, not after it has been resolved by someone else. An error found early is a data question. The same error found late is a correction to a signed report, and I have written that letter and would prefer not to write it again.</w:t>
      </w:r>
    </w:p>
    <w:p>
      <w:r>
        <w:t>Nicole Hanna asks the follow-up question that shows she understood the first answer, which is the trait I look for and the one that is hardest to teach. Nothing else in this record matters as much as that.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Nicole Hanna</dc:title>
  <dc:subject/>
  <dc:creator>Robert Lawrence</dc:creator>
  <cp:keywords/>
  <dc:description>generated by python-docx</dc:description>
  <cp:lastModifiedBy>Robert Lawrence</cp:lastModifiedBy>
  <cp:revision>1</cp:revision>
  <dcterms:created xsi:type="dcterms:W3CDTF">2023-08-02T09:00:00Z</dcterms:created>
  <dcterms:modified xsi:type="dcterms:W3CDTF">2023-08-02T09:00:00Z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