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Vice President of Engineering search for Coleman Ltd. Prepared by Jeffrey Patterson, Research Consultant. Confidential to Coleman Ltd and to the engagement team.</w:t>
      </w:r>
    </w:p>
    <w:p>
      <w:pPr>
        <w:pStyle w:val="Heading2"/>
      </w:pPr>
      <w:r>
        <w:t>Status Summary</w:t>
      </w:r>
    </w:p>
    <w:p>
      <w:r>
        <w:t>At the midpoint of the engagement the search is on plan. The position specification is signed in its reissued form, the market map is complete and has been extended once at your instruction, the long list has been worked down through first conversations, and a slate is forming. It is not ready. I want to be precise about that rather than optimistic. I expect to bring you candidates, I expect it to be soon, and I am not going to put a date in a document that will outlive my memory of writing it. This is the stage of a retained search where a great deal of work sits behind us and very little of it is visible to you, which is uncomfortable for both of us and is about to end.</w:t>
      </w:r>
    </w:p>
    <w:p>
      <w:pPr>
        <w:pStyle w:val="Heading2"/>
      </w:pPr>
      <w:r>
        <w:t>Accomplishments This Period</w:t>
      </w:r>
    </w:p>
    <w:p>
      <w:pPr>
        <w:pStyle w:val="ListBullet"/>
      </w:pPr>
      <w:r>
        <w:t>The specification was reissued after the working session, with the scale requirement rewritten as a transition requirement, and signed. Everything sourced since has been sourced against that version.</w:t>
      </w:r>
    </w:p>
    <w:p>
      <w:pPr>
        <w:pStyle w:val="ListBullet"/>
      </w:pPr>
      <w:r>
        <w:t>John Chang completed the extension of the map into the adjacent pool your team opened at calibration. The extension has earned its keep: the response rate out of the adjacent pool is materially better than out of the core, for exactly the reason we predicted, which is that the core is well paid and well regarded where it already sits and has no reason to answer the phone.</w:t>
      </w:r>
    </w:p>
    <w:p>
      <w:pPr>
        <w:pStyle w:val="ListBullet"/>
      </w:pPr>
      <w:r>
        <w:t>First conversations are complete across the core group and substantially complete across the extension. James Grant has taken the senior end of these himself, which is the only way that end gets taken.</w:t>
      </w:r>
    </w:p>
    <w:p>
      <w:pPr>
        <w:pStyle w:val="ListBullet"/>
      </w:pPr>
      <w:r>
        <w:t>We have set aside more profiles than we have advanced, and we have kept the reasons in writing. You will see the set-asides at the slate review alongside the advances. A slate whose shape you cannot see is a slate you cannot argue with, and a slate you cannot argue with is one you will not defend to your board.</w:t>
      </w:r>
    </w:p>
    <w:p>
      <w:pPr>
        <w:pStyle w:val="Heading2"/>
      </w:pPr>
      <w:r>
        <w:t>Upcoming Work</w:t>
      </w:r>
    </w:p>
    <w:p>
      <w:pPr>
        <w:pStyle w:val="ListBullet"/>
      </w:pPr>
      <w:r>
        <w:t>Second conversations with the advancing group, run by James Grant and me together, so that two people here have met every candidate before anyone there meets one.</w:t>
      </w:r>
    </w:p>
    <w:p>
      <w:pPr>
        <w:pStyle w:val="ListBullet"/>
      </w:pPr>
      <w:r>
        <w:t>Written candidate reports on the advancing group, by current role rather than by name until you confirm the panel.</w:t>
      </w:r>
    </w:p>
    <w:p>
      <w:pPr>
        <w:pStyle w:val="ListBullet"/>
      </w:pPr>
      <w:r>
        <w:t>On-list references on the advancing group. Off-list references come after you have met people, not before.</w:t>
      </w:r>
    </w:p>
    <w:p>
      <w:pPr>
        <w:pStyle w:val="ListBullet"/>
      </w:pPr>
      <w:r>
        <w:t>Slate review with your panel, in the format agreed at the working session.</w:t>
      </w:r>
    </w:p>
    <w:p>
      <w:pPr>
        <w:pStyle w:val="Heading2"/>
      </w:pPr>
      <w:r>
        <w:t>Risks</w:t>
      </w:r>
    </w:p>
    <w:p>
      <w:r>
        <w:t>The thin market remains the binding constraint, as we told you in the briefing. Opening the adjacent pool has widened it enough to work with, but not enough that we can afford to lose two people late. That is the argument for moving quickly once you have a slate rather than for moving quickly to get one.</w:t>
      </w:r>
    </w:p>
    <w:p>
      <w:r>
        <w:t>The internal candidate is a live risk in both directions, and it is not a risk to the search so much as a risk to your engineering organization. We have taken you at your word that the assessment is on the same basis. Hold to that even if the external slate is strong, because the part of this the rest of your team will remember is not who was hired but whether the process was honest.</w:t>
      </w:r>
    </w:p>
    <w:p>
      <w:r>
        <w:t>Timing is against us for the next stretch. This is the worst window in the calendar for both halves of the problem, since candidates take holiday and so do panels, and a two-week gap between conversations is how good candidates cool. James Grant will manage the gaps on the candidate side. The panel side is yours.</w:t>
      </w:r>
    </w:p>
    <w:p>
      <w:r>
        <w:t>Two of the people we are advancing are in another process. This is not a failure of confidentiality and it is not a surprise; it is what happens when you insist on people who are worth insisting on. It is a reason to have your interview availability blocked before the slate arrives rather than after. A competing process is rarely won on money. It is usually won by whichever company made the candidate feel that a decision was being taken about them rather than around them, and speed is most of how that gets communicated.</w:t>
      </w:r>
    </w:p>
    <w:p>
      <w:pPr>
        <w:pStyle w:val="Heading2"/>
      </w:pPr>
      <w:r>
        <w:t>Fees and Budget</w:t>
      </w:r>
    </w:p>
    <w:p>
      <w:r>
        <w:t>The engagement is on a fixed fee of $105,000. The fee does not move with the length of the search or with the compensation of the person you hire, and all three installments have now been invoiced under the schedule in the engagement letter. Out-of-pocket expenses to date are limited to candidate travel arranged at your request and billed at cost against receipts. There is no budget variance to report, and there will not be one. The only number that changes between here and the close is the calendar.</w:t>
      </w:r>
    </w:p>
    <w:p>
      <w:r>
        <w:t>Written reporting continues weekly. James Grant will call if something arrives that should not wait for a written report, which in my experience it does about once a search.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VP Engineering Search for Coleman Ltd</dc:title>
  <dc:subject/>
  <dc:creator>Jeffrey Patterson</dc:creator>
  <cp:keywords/>
  <dc:description>generated by python-docx</dc:description>
  <cp:lastModifiedBy>Jeffrey Patterson</cp:lastModifiedBy>
  <cp:revision>1</cp:revision>
  <dcterms:created xsi:type="dcterms:W3CDTF">2016-06-18T09:00:00Z</dcterms:created>
  <dcterms:modified xsi:type="dcterms:W3CDTF">2016-06-18T09:00:00Z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