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Working session on the Vice President of Engineering search for Coleman Ltd, held at the client's offices. Minutes recorded by John Chang. Circulated to attendees for correction; corrections to me within two business days, after which these stand as the record.</w:t>
      </w:r>
    </w:p>
    <w:p>
      <w:pPr>
        <w:pStyle w:val="Heading2"/>
      </w:pPr>
      <w:r>
        <w:t>Attendees</w:t>
      </w:r>
    </w:p>
    <w:p>
      <w:pPr>
        <w:pStyle w:val="ListBullet"/>
      </w:pPr>
      <w:r>
        <w:t>Michael Martin, Chief Operating Officer, Coleman Ltd</w:t>
      </w:r>
    </w:p>
    <w:p>
      <w:pPr>
        <w:pStyle w:val="ListBullet"/>
      </w:pPr>
      <w:r>
        <w:t>Jeffrey Patterson, Research Consultant</w:t>
      </w:r>
    </w:p>
    <w:p>
      <w:pPr>
        <w:pStyle w:val="ListBullet"/>
      </w:pPr>
      <w:r>
        <w:t>James Grant, Senior Consultant</w:t>
      </w:r>
    </w:p>
    <w:p>
      <w:pPr>
        <w:pStyle w:val="ListBullet"/>
      </w:pPr>
      <w:r>
        <w:t>John Chang, Research Associate (recording)</w:t>
      </w:r>
    </w:p>
    <w:p>
      <w:pPr>
        <w:pStyle w:val="Heading2"/>
      </w:pPr>
      <w:r>
        <w:t>Discussion</w:t>
      </w:r>
    </w:p>
    <w:p>
      <w:r>
        <w:t>The purpose of the session was to review progress against the position specification and to agree how the slate will be composed before candidate interviews begin. Jeffrey Patterson opened with the state of the long list and the outcome of the calibration session.</w:t>
      </w:r>
    </w:p>
    <w:p>
      <w:r>
        <w:t>Jeffrey Patterson reported that the calibration profiles moved the specification in one material respect. The requirement for direct experience at the current scale has been relaxed in favor of demonstrated experience taking an organization through a scale transition. Michael Martin confirmed this reflected the discussion on his side and asked that the change be written into the specification rather than carried informally between the two teams. Jeffrey Patterson agreed and said the reissued specification would follow, with the changed paragraphs marked so that nobody has to read the whole document twice.</w:t>
      </w:r>
    </w:p>
    <w:p>
      <w:r>
        <w:t>James Grant raised the internal candidate. Michael Martin confirmed that a member of the existing engineering leadership has expressed interest and will be considered. James Grant asked whether that person would be assessed on the same basis as the external slate, by the same people, and Michael Martin said yes. James Grant asked that the answer be given to the individual directly and early, and made the point that an internal candidate who learns their position from the process rather than from their executive becomes a retention problem regardless of how the search ends. Michael Martin accepted this and will speak to the person concerned.</w:t>
      </w:r>
    </w:p>
    <w:p>
      <w:r>
        <w:t>The session returned to the adjacent pools opened at calibration. John Chang reported that the extended map has produced a workable number of additional approaches, and that the response rate out of the adjacent pool is running higher than out of the core pool. Jeffrey Patterson attributed the difference to the core pool being well paid and well treated where it already sits. Michael Martin asked whether the firm was reaching outside the specification in order to fill a slate. Jeffrey Patterson said it was not, and offered to bring the set-aside profiles as well as the advancing ones to the slate review, so that the client can see what was put down and why.</w:t>
      </w:r>
    </w:p>
    <w:p>
      <w:r>
        <w:t>On slate timing, James Grant advised against assembling a slate to meet a date. Michael Martin said the board asks about this role monthly and that he would rather answer honestly than early. The session agreed that the slate goes forward when it is ready, and that the weekly update will say so plainly if it slips.</w:t>
      </w:r>
    </w:p>
    <w:p>
      <w:r>
        <w:t>On logistics, Michael Martin will block interview availability in advance. James Grant will schedule with candidates directly rather than through the client's calendar, for discretion. Candidate material circulating at Coleman Ltd will identify candidates by current role until finalists are agreed.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By</w:t>
            </w:r>
          </w:p>
        </w:tc>
      </w:tr>
      <w:tr>
        <w:tc>
          <w:tcPr>
            <w:tcW w:type="dxa" w:w="2880"/>
          </w:tcPr>
          <w:p>
            <w:r>
              <w:t>Reissue the position specification with the scale-transition change marked</w:t>
            </w:r>
          </w:p>
        </w:tc>
        <w:tc>
          <w:tcPr>
            <w:tcW w:type="dxa" w:w="2880"/>
          </w:tcPr>
          <w:p>
            <w:r>
              <w:t>Jeffrey Patterson</w:t>
            </w:r>
          </w:p>
        </w:tc>
        <w:tc>
          <w:tcPr>
            <w:tcW w:type="dxa" w:w="2880"/>
          </w:tcPr>
          <w:p>
            <w:r>
              <w:t>One week</w:t>
            </w:r>
          </w:p>
        </w:tc>
      </w:tr>
      <w:tr>
        <w:tc>
          <w:tcPr>
            <w:tcW w:type="dxa" w:w="2880"/>
          </w:tcPr>
          <w:p>
            <w:r>
              <w:t>Speak to the internal candidate about the process and the basis of assessment</w:t>
            </w:r>
          </w:p>
        </w:tc>
        <w:tc>
          <w:tcPr>
            <w:tcW w:type="dxa" w:w="2880"/>
          </w:tcPr>
          <w:p>
            <w:r>
              <w:t>Michael Martin</w:t>
            </w:r>
          </w:p>
        </w:tc>
        <w:tc>
          <w:tcPr>
            <w:tcW w:type="dxa" w:w="2880"/>
          </w:tcPr>
          <w:p>
            <w:r>
              <w:t>Before the first client interview</w:t>
            </w:r>
          </w:p>
        </w:tc>
      </w:tr>
      <w:tr>
        <w:tc>
          <w:tcPr>
            <w:tcW w:type="dxa" w:w="2880"/>
          </w:tcPr>
          <w:p>
            <w:r>
              <w:t>Extend the market map into the adjacent pool and report response rates</w:t>
            </w:r>
          </w:p>
        </w:tc>
        <w:tc>
          <w:tcPr>
            <w:tcW w:type="dxa" w:w="2880"/>
          </w:tcPr>
          <w:p>
            <w:r>
              <w:t>John Chang</w:t>
            </w:r>
          </w:p>
        </w:tc>
        <w:tc>
          <w:tcPr>
            <w:tcW w:type="dxa" w:w="2880"/>
          </w:tcPr>
          <w:p>
            <w:r>
              <w:t>Next session</w:t>
            </w:r>
          </w:p>
        </w:tc>
      </w:tr>
      <w:tr>
        <w:tc>
          <w:tcPr>
            <w:tcW w:type="dxa" w:w="2880"/>
          </w:tcPr>
          <w:p>
            <w:r>
              <w:t>Confirm the interview panel and block availability</w:t>
            </w:r>
          </w:p>
        </w:tc>
        <w:tc>
          <w:tcPr>
            <w:tcW w:type="dxa" w:w="2880"/>
          </w:tcPr>
          <w:p>
            <w:r>
              <w:t>Michael Martin</w:t>
            </w:r>
          </w:p>
        </w:tc>
        <w:tc>
          <w:tcPr>
            <w:tcW w:type="dxa" w:w="2880"/>
          </w:tcPr>
          <w:p>
            <w:r>
              <w:t>Two weeks</w:t>
            </w:r>
          </w:p>
        </w:tc>
      </w:tr>
      <w:tr>
        <w:tc>
          <w:tcPr>
            <w:tcW w:type="dxa" w:w="2880"/>
          </w:tcPr>
          <w:p>
            <w:r>
              <w:t>Circulate the slate review agenda, including the set-aside profiles</w:t>
            </w:r>
          </w:p>
        </w:tc>
        <w:tc>
          <w:tcPr>
            <w:tcW w:type="dxa" w:w="2880"/>
          </w:tcPr>
          <w:p>
            <w:r>
              <w:t>Jeffrey Patterson</w:t>
            </w:r>
          </w:p>
        </w:tc>
        <w:tc>
          <w:tcPr>
            <w:tcW w:type="dxa" w:w="2880"/>
          </w:tcPr>
          <w:p>
            <w:r>
              <w:t>With the slate</w:t>
            </w:r>
          </w:p>
        </w:tc>
      </w:tr>
      <w:tr>
        <w:tc>
          <w:tcPr>
            <w:tcW w:type="dxa" w:w="2880"/>
          </w:tcPr>
          <w:p>
            <w:r>
              <w:t>Candidate scheduling and communications</w:t>
            </w:r>
          </w:p>
        </w:tc>
        <w:tc>
          <w:tcPr>
            <w:tcW w:type="dxa" w:w="2880"/>
          </w:tcPr>
          <w:p>
            <w:r>
              <w:t>James Grant</w:t>
            </w:r>
          </w:p>
        </w:tc>
        <w:tc>
          <w:tcPr>
            <w:tcW w:type="dxa" w:w="2880"/>
          </w:tcPr>
          <w:p>
            <w:r>
              <w:t>Ongoing</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VP Engineering Search for Coleman Ltd</dc:title>
  <dc:subject/>
  <dc:creator>John Chang</dc:creator>
  <cp:keywords/>
  <dc:description>generated by python-docx</dc:description>
  <cp:lastModifiedBy>John Chang</cp:lastModifiedBy>
  <cp:revision>1</cp:revision>
  <dcterms:created xsi:type="dcterms:W3CDTF">2016-05-28T09:00:00Z</dcterms:created>
  <dcterms:modified xsi:type="dcterms:W3CDTF">2016-05-28T09:00:00Z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