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Closing working session on the Head of Operations search for Davis and Sons, held by telephone. The purpose was to confirm the position is filled, to record what remains outstanding, and to agree the close-out of the engagement file.</w:t>
      </w:r>
    </w:p>
    <w:p>
      <w:pPr>
        <w:pStyle w:val="Heading2"/>
      </w:pPr>
      <w:r>
        <w:t>Attendees</w:t>
      </w:r>
    </w:p>
    <w:p>
      <w:pPr>
        <w:pStyle w:val="ListBullet"/>
      </w:pPr>
      <w:r>
        <w:t>James Grant, Senior Consultant</w:t>
      </w:r>
    </w:p>
    <w:p>
      <w:pPr>
        <w:pStyle w:val="ListBullet"/>
      </w:pPr>
      <w:r>
        <w:t>Nicole Donovan, Research Associate</w:t>
      </w:r>
    </w:p>
    <w:p>
      <w:pPr>
        <w:pStyle w:val="ListBullet"/>
      </w:pPr>
      <w:r>
        <w:t>Jason Vasquez, General Manager, Davis and Sons</w:t>
      </w:r>
    </w:p>
    <w:p>
      <w:pPr>
        <w:pStyle w:val="Heading2"/>
      </w:pPr>
      <w:r>
        <w:t>Discussion</w:t>
      </w:r>
    </w:p>
    <w:p>
      <w:r>
        <w:t>Mr. Grant confirmed that the offer has been accepted and that the candidate has resigned his current position. The accepted candidate is the plant-level general manager with multi-site responsibility who was presented on the original slate. He was not the candidate the client favored after first interview, a point Mr. Vasquez raised himself and said he was glad to have been argued with about. Notice period and start arrangements sit between the candidate and Davis and Sons and are not recorded here.</w:t>
      </w:r>
    </w:p>
    <w:p>
      <w:r>
        <w:t>A short discussion followed on the finalist who withdrew. The withdrawal came late in the process and Mr. Grant handled it by telephone rather than by note, which Mr. Vasquez said he appreciated hearing. The stated reason was a counter-offer. My own read, recorded for the file, is that the counter-offer was the occasion rather than the cause, and that the length of the interview cycle did more damage than any of us wanted to say at the time. Mr. Grant did not disagree. It is worth carrying into the next assignment with this client.</w:t>
      </w:r>
    </w:p>
    <w:p>
      <w:r>
        <w:t>Mr. Vasquez asked about our position after the placement. Mr. Grant restated what the engagement letter says: the fee is fixed and its balance falls due on acceptance, and the firm will not recruit from Davis and Sons for the term of this engagement and for a year after it ends. Mr. Vasquez then asked whether we would take a second search. Mr. Grant said that was a conversation for Kelly and that he would arrange it rather than answer for her.</w:t>
      </w:r>
    </w:p>
    <w:p>
      <w:r>
        <w:t>Mr. Grant then asked me to record something for the file that he said he would otherwise forget to say. The placement came off a slate rather than off a single introduction, and it came off the part of the slate the client had not expected to hire from. He credited the map for that: the accepted candidate sat in a segment the client had not named at kickoff, and he was on the list because the research put him there and not because anybody in this firm already knew him. I record it as he said it. He also asked that the client be told plainly that the search ran to its planned length and did not run over, which Mr. Vasquez acknowledged.</w:t>
      </w:r>
    </w:p>
    <w:p>
      <w:r>
        <w:t>On close-out, I will hold the candidate file for the period our retention practice requires and dispose of it after that. The market map stays with the firm. Nothing identifying an unsuccessful candidate goes to the client, now or later, and Mr. Vasquez confirmed he had never asked for any of it.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Timing</w:t>
            </w:r>
          </w:p>
        </w:tc>
      </w:tr>
      <w:tr>
        <w:tc>
          <w:tcPr>
            <w:tcW w:type="dxa" w:w="2880"/>
          </w:tcPr>
          <w:p>
            <w:r>
              <w:t>Issue the final invoice on acceptance, per the engagement letter</w:t>
            </w:r>
          </w:p>
        </w:tc>
        <w:tc>
          <w:tcPr>
            <w:tcW w:type="dxa" w:w="2880"/>
          </w:tcPr>
          <w:p>
            <w:r>
              <w:t>Nicole Donovan</w:t>
            </w:r>
          </w:p>
        </w:tc>
        <w:tc>
          <w:tcPr>
            <w:tcW w:type="dxa" w:w="2880"/>
          </w:tcPr>
          <w:p>
            <w:r>
              <w:t>This week</w:t>
            </w:r>
          </w:p>
        </w:tc>
      </w:tr>
      <w:tr>
        <w:tc>
          <w:tcPr>
            <w:tcW w:type="dxa" w:w="2880"/>
          </w:tcPr>
          <w:p>
            <w:r>
              <w:t>Confirm the candidate's start arrangements directly with the client</w:t>
            </w:r>
          </w:p>
        </w:tc>
        <w:tc>
          <w:tcPr>
            <w:tcW w:type="dxa" w:w="2880"/>
          </w:tcPr>
          <w:p>
            <w:r>
              <w:t>James Grant</w:t>
            </w:r>
          </w:p>
        </w:tc>
        <w:tc>
          <w:tcPr>
            <w:tcW w:type="dxa" w:w="2880"/>
          </w:tcPr>
          <w:p>
            <w:r>
              <w:t>On the candidate's notice</w:t>
            </w:r>
          </w:p>
        </w:tc>
      </w:tr>
      <w:tr>
        <w:tc>
          <w:tcPr>
            <w:tcW w:type="dxa" w:w="2880"/>
          </w:tcPr>
          <w:p>
            <w:r>
              <w:t>Write to the candidates who were not selected</w:t>
            </w:r>
          </w:p>
        </w:tc>
        <w:tc>
          <w:tcPr>
            <w:tcW w:type="dxa" w:w="2880"/>
          </w:tcPr>
          <w:p>
            <w:r>
              <w:t>James Grant</w:t>
            </w:r>
          </w:p>
        </w:tc>
        <w:tc>
          <w:tcPr>
            <w:tcW w:type="dxa" w:w="2880"/>
          </w:tcPr>
          <w:p>
            <w:r>
              <w:t>Before the file closes</w:t>
            </w:r>
          </w:p>
        </w:tc>
      </w:tr>
      <w:tr>
        <w:tc>
          <w:tcPr>
            <w:tcW w:type="dxa" w:w="2880"/>
          </w:tcPr>
          <w:p>
            <w:r>
              <w:t>Close the engagement file and archive the market map</w:t>
            </w:r>
          </w:p>
        </w:tc>
        <w:tc>
          <w:tcPr>
            <w:tcW w:type="dxa" w:w="2880"/>
          </w:tcPr>
          <w:p>
            <w:r>
              <w:t>Nicole Donovan</w:t>
            </w:r>
          </w:p>
        </w:tc>
        <w:tc>
          <w:tcPr>
            <w:tcW w:type="dxa" w:w="2880"/>
          </w:tcPr>
          <w:p>
            <w:r>
              <w:t>On final invoice</w:t>
            </w:r>
          </w:p>
        </w:tc>
      </w:tr>
      <w:tr>
        <w:tc>
          <w:tcPr>
            <w:tcW w:type="dxa" w:w="2880"/>
          </w:tcPr>
          <w:p>
            <w:r>
              <w:t>Arrange a conversation with the client on further work</w:t>
            </w:r>
          </w:p>
        </w:tc>
        <w:tc>
          <w:tcPr>
            <w:tcW w:type="dxa" w:w="2880"/>
          </w:tcPr>
          <w:p>
            <w:r>
              <w:t>James Grant</w:t>
            </w:r>
          </w:p>
        </w:tc>
        <w:tc>
          <w:tcPr>
            <w:tcW w:type="dxa" w:w="2880"/>
          </w:tcPr>
          <w:p>
            <w:r>
              <w:t>In the new year</w:t>
            </w:r>
          </w:p>
        </w:tc>
      </w:tr>
    </w:tbl>
    <w:p>
      <w:r>
        <w:t>No further session scheduled. Minutes recorded by Nicole Donovan.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Head of Operations Search for Davis and Sons</dc:title>
  <dc:subject/>
  <dc:creator>Nicole Donovan</dc:creator>
  <cp:keywords/>
  <dc:description>generated by python-docx</dc:description>
  <cp:lastModifiedBy>Nicole Donovan</cp:lastModifiedBy>
  <cp:revision>1</cp:revision>
  <dcterms:created xsi:type="dcterms:W3CDTF">2018-12-06T09:00:00Z</dcterms:created>
  <dcterms:modified xsi:type="dcterms:W3CDTF">2018-12-06T09:00:00Z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