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Status report, compensation benchmarking for Hicks-Castillo. Prepared by David Weiss, Research Associate. Reviewed by Sandra Fuentes, Principal.</w:t>
      </w:r>
    </w:p>
    <w:p>
      <w:pPr>
        <w:pStyle w:val="Heading2"/>
      </w:pPr>
      <w:r>
        <w:t>Where we are</w:t>
      </w:r>
    </w:p>
    <w:p>
      <w:r>
        <w:t>We are at roughly the midpoint and the shape of the answer is starting to show. The peer group is agreed and signed off. The role match is agreed, including the blended treatment for the operations seat that we settled on at the last working session. The cash data is collected and normalized to a common effective date. What remains is the long-term incentive gap at the privately held peers, the analysis itself, and the writing. We are on the eight-month plan set out in the engagement letter, with the one caveat in the risks section below.</w:t>
      </w:r>
    </w:p>
    <w:p>
      <w:r>
        <w:t>One thing worth saying plainly at the midpoint, because it is the part you are paying for and also the part that is hardest to see from outside: the peer group and the role match are finished, and they are finished properly. That sounds like a modest claim. It is not. Those two decisions determine every number that comes after them, and they are the two that are easiest to rush, because nothing visible happens while you argue about them and the calendar keeps moving anyway. We argued about them. Everything you receive in the back half of this engagement inherits that work, and had we hurried it there would be no way to tell from the output that anything had gone wrong.</w:t>
      </w:r>
    </w:p>
    <w:p>
      <w:r>
        <w:t>On money: the engagement is fixed-fee at $75,000, and nothing we have done or plan to do changes that number. The second installment came due on delivery of the peer group and role match and has been invoiced. Expenses to date are survey licenses only, well inside the five percent cap the letter sets, and there has been no travel to bill. If the scope grows we will price it and ask before we start. As of today there is nothing in that column.</w:t>
      </w:r>
    </w:p>
    <w:p>
      <w:pPr>
        <w:pStyle w:val="Heading2"/>
      </w:pPr>
      <w:r>
        <w:t>Completed this period</w:t>
      </w:r>
    </w:p>
    <w:p>
      <w:pPr>
        <w:pStyle w:val="ListBullet"/>
      </w:pPr>
      <w:r>
        <w:t>Peer group finalized and signed off, with the written rationale for each company retained in the source log rather than in somebody's memory.</w:t>
      </w:r>
    </w:p>
    <w:p>
      <w:pPr>
        <w:pStyle w:val="ListBullet"/>
      </w:pPr>
      <w:r>
        <w:t>Role match completed for every in-scope seat, including the blended construction for operations, with both component ranges preserved so the blend can be taken apart by anyone who wants to.</w:t>
      </w:r>
    </w:p>
    <w:p>
      <w:pPr>
        <w:pStyle w:val="ListBullet"/>
      </w:pPr>
      <w:r>
        <w:t>Base salary and target total cash normalized across the full peer set and aged to a single effective date. The aging and weighting assumptions went to you in writing and came back without objection.</w:t>
      </w:r>
    </w:p>
    <w:p>
      <w:pPr>
        <w:pStyle w:val="ListBullet"/>
      </w:pPr>
      <w:r>
        <w:t>Cost-to-close exhibit drafted at three points in the range, so the eventual decision arrives priced rather than as a direction.</w:t>
      </w:r>
    </w:p>
    <w:p>
      <w:pPr>
        <w:pStyle w:val="ListBullet"/>
      </w:pPr>
      <w:r>
        <w:t>Source log built and current. Every number that will appear in the findings traces to a source, an effective date, and an aging factor.</w:t>
      </w:r>
    </w:p>
    <w:p>
      <w:pPr>
        <w:pStyle w:val="Heading2"/>
      </w:pPr>
      <w:r>
        <w:t>Upcoming work</w:t>
      </w:r>
    </w:p>
    <w:p>
      <w:pPr>
        <w:pStyle w:val="ListBullet"/>
      </w:pPr>
      <w:r>
        <w:t>Long-term incentive: finish the survey-participation approach for the private peers, or state the limitation in the findings and put the cash-only view next to it. Sandra Fuentes will decide which, and she will not let it go out looking more solid than it is.</w:t>
      </w:r>
    </w:p>
    <w:p>
      <w:pPr>
        <w:pStyle w:val="ListBullet"/>
      </w:pPr>
      <w:r>
        <w:t>Full analysis and range construction at the 25th, 50th, and 75th percentiles, by role and by band.</w:t>
      </w:r>
    </w:p>
    <w:p>
      <w:pPr>
        <w:pStyle w:val="ListBullet"/>
      </w:pPr>
      <w:r>
        <w:t>Written findings, then the presentation. In that order, deliberately.</w:t>
      </w:r>
    </w:p>
    <w:p>
      <w:pPr>
        <w:pStyle w:val="ListBullet"/>
      </w:pPr>
      <w:r>
        <w:t>A working session at roughly the three-quarter mark to walk the draft findings with you before anything is finalized. Nothing in this study should surprise you at the end.</w:t>
      </w:r>
    </w:p>
    <w:p>
      <w:pPr>
        <w:pStyle w:val="Heading2"/>
      </w:pPr>
      <w:r>
        <w:t>Risks I would rather flag now than later</w:t>
      </w:r>
    </w:p>
    <w:p>
      <w:pPr>
        <w:pStyle w:val="ListBullet"/>
      </w:pPr>
      <w:r>
        <w:t>Long-term incentive coverage. The private peers do not disclose, and survey participation is thinner at this revenue size than I assumed when I scoped the collection. That one is on me. Mitigation: we show the ranges we can defend and we are explicit about which ones rest on a handful of observations. I would rather hand you a narrow claim you can use than a wide one you cannot.</w:t>
      </w:r>
    </w:p>
    <w:p>
      <w:pPr>
        <w:pStyle w:val="ListBullet"/>
      </w:pPr>
      <w:r>
        <w:t>The operations blend. It is the right answer and it is also the number most likely to be challenged, precisely because it is constructed rather than observed. Mitigation: both component ranges travel with it and the construction is shown, not asserted.</w:t>
      </w:r>
    </w:p>
    <w:p>
      <w:pPr>
        <w:pStyle w:val="ListBullet"/>
      </w:pPr>
      <w:r>
        <w:t>Below-market findings at the middle levels. Early indications point that way at two of them. This is not a risk to the study, it is a risk to the conversation the study starts, and the cost-to-close exhibit exists so that conversation has numbers in it rather than adjectives.</w:t>
      </w:r>
    </w:p>
    <w:p>
      <w:pPr>
        <w:pStyle w:val="ListBullet"/>
      </w:pPr>
      <w:r>
        <w:t>My own drafting. Sandra Fuentes has already sent one section back for describing a seat specifically enough that it stopped being anonymous in a company the size of Hicks-Castillo. She was right, and it was not a close call. Everything now goes through her before it reaches you, which is slower and is the correct trade.</w:t>
      </w:r>
    </w:p>
    <w:p>
      <w:r>
        <w:t>Nothing here needs a decision from you this week. If you want the cost-to-close exhibit early in draft, I can send it. It is rough but it is directionally right, and some clients would rather see the shape sooner than see it polished later. Say the word and it goes out.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Compensation Benchmarking for Hicks-Castillo</dc:title>
  <dc:subject/>
  <dc:creator>David Weiss</dc:creator>
  <cp:keywords/>
  <dc:description>generated by python-docx</dc:description>
  <cp:lastModifiedBy>David Weiss</cp:lastModifiedBy>
  <cp:revision>1</cp:revision>
  <dcterms:created xsi:type="dcterms:W3CDTF">2023-07-29T09:00:00Z</dcterms:created>
  <dcterms:modified xsi:type="dcterms:W3CDTF">2023-07-29T09:00:00Z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