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Final status report, compensation benchmarking for Hicks-Castillo. Prepared by David Weiss, Research Associate. Reviewed by Sandra Fuentes, Principal.</w:t>
      </w:r>
    </w:p>
    <w:p>
      <w:pPr>
        <w:pStyle w:val="Heading2"/>
      </w:pPr>
      <w:r>
        <w:t>Summary</w:t>
      </w:r>
    </w:p>
    <w:p>
      <w:r>
        <w:t>This is the last status report of the engagement. The written findings are delivered, the presentation is delivered, and the compensation committee document went out under your cover as agreed. What is left is the second sitting the engagement letter entitles you to, if you want it, and the close-out of the file. The study came in on the eight-month plan without an extension, which I would like to attribute to good management and should probably attribute to the fact that we refused to move past the peer group until it was actually agreed.</w:t>
      </w:r>
    </w:p>
    <w:p>
      <w:r>
        <w:t>The short version of what we found, for the file and for anyone who reads this report without the findings sitting next to it: the pay problem here was never the salary line. It is the annual incentive design, and it can be fixed without a structural increase to fixed cost. That is a considerably better answer than the one I expected to be writing when we scoped this in the spring, and it is that answer because the peer group was right, not because anyone got clever at the end. Sandra Fuentes would want me to add that a study reaching the opposite conclusion would have been just as good a study. We do not get to pick the finding. We only get to pick whether it holds up.</w:t>
      </w:r>
    </w:p>
    <w:p>
      <w:pPr>
        <w:pStyle w:val="Heading2"/>
      </w:pPr>
      <w:r>
        <w:t>Delivered this period</w:t>
      </w:r>
    </w:p>
    <w:p>
      <w:pPr>
        <w:pStyle w:val="ListBullet"/>
      </w:pPr>
      <w:r>
        <w:t>Written findings, complete: ranges at the 25th, 50th, and 75th percentiles for base salary, target total cash, and total direct compensation, by role and by band, across the agreed peer set.</w:t>
      </w:r>
    </w:p>
    <w:p>
      <w:pPr>
        <w:pStyle w:val="ListBullet"/>
      </w:pPr>
      <w:r>
        <w:t>The annual incentive design finding, reworked to lead with the mechanism rather than the gap. That was Sandra Fuentes's call and it was the right one; it has been the part of the study your people actually ask about.</w:t>
      </w:r>
    </w:p>
    <w:p>
      <w:pPr>
        <w:pStyle w:val="ListBullet"/>
      </w:pPr>
      <w:r>
        <w:t>Long-term incentive ranges, shown and labeled as thin where the private peers do not disclose, with the cash-only view set beside them.</w:t>
      </w:r>
    </w:p>
    <w:p>
      <w:pPr>
        <w:pStyle w:val="ListBullet"/>
      </w:pPr>
      <w:r>
        <w:t>Cost-to-close exhibit at three points in the range, so the board conversation has priced options in front of it rather than a direction.</w:t>
      </w:r>
    </w:p>
    <w:p>
      <w:pPr>
        <w:pStyle w:val="ListBullet"/>
      </w:pPr>
      <w:r>
        <w:t>Source log, delivered with the findings rather than held back. Every figure traces to a source, an effective date, and an aging factor. You can rebuild any number in the study without us in the room.</w:t>
      </w:r>
    </w:p>
    <w:p>
      <w:pPr>
        <w:pStyle w:val="ListBullet"/>
      </w:pPr>
      <w:r>
        <w:t>Findings presentation delivered to the audience you designated, and the separate committee document delivered under your cover with its own distribution list.</w:t>
      </w:r>
    </w:p>
    <w:p>
      <w:pPr>
        <w:pStyle w:val="Heading2"/>
      </w:pPr>
      <w:r>
        <w:t>What is left</w:t>
      </w:r>
    </w:p>
    <w:p>
      <w:pPr>
        <w:pStyle w:val="ListBullet"/>
      </w:pPr>
      <w:r>
        <w:t>The optional second sitting. The engagement letter gives you one at your request and we have not heard whether you want it. Sandra Fuentes and I are both available.</w:t>
      </w:r>
    </w:p>
    <w:p>
      <w:pPr>
        <w:pStyle w:val="ListBullet"/>
      </w:pPr>
      <w:r>
        <w:t>File close-out on our side, which includes returning or destroying the raw compensation data you provided, per the confidentiality section. I will send you confirmation when it is done rather than leaving you to wonder.</w:t>
      </w:r>
    </w:p>
    <w:p>
      <w:pPr>
        <w:pStyle w:val="ListBullet"/>
      </w:pPr>
      <w:r>
        <w:t>The final invoice, which follows delivery of the written findings and is with our billing now.</w:t>
      </w:r>
    </w:p>
    <w:p>
      <w:pPr>
        <w:pStyle w:val="Heading2"/>
      </w:pPr>
      <w:r>
        <w:t>Budget</w:t>
      </w:r>
    </w:p>
    <w:p>
      <w:r>
        <w:t>The engagement was fixed-fee at $75,000 and closed at that number. No change orders, no scope additions, no line items you have not seen before. Expenses were survey licenses only and landed well inside the five percent cap; there was no travel to bill. The third and final installment is the last thing you will see from us on this engagement.</w:t>
      </w:r>
    </w:p>
    <w:p>
      <w:pPr>
        <w:pStyle w:val="Heading2"/>
      </w:pPr>
      <w:r>
        <w:t>Risks</w:t>
      </w:r>
    </w:p>
    <w:p>
      <w:pPr>
        <w:pStyle w:val="ListBullet"/>
      </w:pPr>
      <w:r>
        <w:t>Shelf life. These ranges are aged to a single effective date, and the market at the two levels where you are behind has been moving. The study is good for planning through your next cycle and I would not lean on it much past that. That is not a defect. It is what a point-in-time benchmark is, and anyone who tells you otherwise is selling you a longer study.</w:t>
      </w:r>
    </w:p>
    <w:p>
      <w:pPr>
        <w:pStyle w:val="ListBullet"/>
      </w:pPr>
      <w:r>
        <w:t>The thin long-term incentive ranges. Still thin, still labeled. If your board pushes on them, the honest answer is the one already in the document: the private peers do not disclose, and we did not pretend otherwise.</w:t>
      </w:r>
    </w:p>
    <w:p>
      <w:pPr>
        <w:pStyle w:val="ListBullet"/>
      </w:pPr>
      <w:r>
        <w:t>The conversation, not the study. The findings say Hicks-Castillo is materially below market on target total cash at two levels. That is now a decision rather than a question, and decisions have a way of stalling until the next cycle makes them worse. The cost-to-close exhibit exists so that this one does not have to. Not our risk to carry, but I would be doing the job badly if I closed the file without naming it.</w:t>
      </w:r>
    </w:p>
    <w:p>
      <w:r>
        <w:t>It has been a good engagement to work on, and I am not saying that only because it is the last page of a status report. If you want the second sitting, say so and we will schedule it. If you would rather we close the file, tell me that too and I will get you the data destruction confirmation and get out of your inbox.</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Compensation Benchmarking for Hicks-Castillo</dc:title>
  <dc:subject/>
  <dc:creator>David Weiss</dc:creator>
  <cp:keywords/>
  <dc:description>generated by python-docx</dc:description>
  <cp:lastModifiedBy>David Weiss</cp:lastModifiedBy>
  <cp:revision>1</cp:revision>
  <dcterms:created xsi:type="dcterms:W3CDTF">2023-11-26T09:00:00Z</dcterms:created>
  <dcterms:modified xsi:type="dcterms:W3CDTF">2023-11-26T09:00:00Z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