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Working session on the compensation benchmarking study for Hicks-Castillo. These minutes were taken by Sandra Fuentes and circulate to the attendees below and to the engagement file.</w:t>
      </w:r>
    </w:p>
    <w:p>
      <w:pPr>
        <w:pStyle w:val="Heading2"/>
      </w:pPr>
      <w:r>
        <w:t>Attendees</w:t>
      </w:r>
    </w:p>
    <w:p>
      <w:pPr>
        <w:pStyle w:val="ListBullet"/>
      </w:pPr>
      <w:r>
        <w:t>Sandra Fuentes, Principal, Northgate Talent Partners LLC (chair)</w:t>
      </w:r>
    </w:p>
    <w:p>
      <w:pPr>
        <w:pStyle w:val="ListBullet"/>
      </w:pPr>
      <w:r>
        <w:t>David Weiss, Research Associate, Northgate Talent Partners LLC</w:t>
      </w:r>
    </w:p>
    <w:p>
      <w:pPr>
        <w:pStyle w:val="ListBullet"/>
      </w:pPr>
      <w:r>
        <w:t>David Mcgee, General Manager, Hicks-Castillo</w:t>
      </w:r>
    </w:p>
    <w:p>
      <w:pPr>
        <w:pStyle w:val="Heading2"/>
      </w:pPr>
      <w:r>
        <w:t>Discussion</w:t>
      </w:r>
    </w:p>
    <w:p>
      <w:r>
        <w:t>David Weiss reported that collection is complete for the agreed peer group and that normalization is finished for base salary and annual incentive across all in-scope roles. Long-term incentive remains partial. Several of the peer companies are privately held and disclose nothing usable, and for those we are relying on survey participation rather than filings. He was candid that this leaves the long-term incentive ranges thinner than the cash ranges. I want that stated plainly in the findings rather than smoothed into a footnote. A range built on the full peer set and a range built on a handful of observations are not the same object, and the client is entitled to know which one he is looking at.</w:t>
      </w:r>
    </w:p>
    <w:p>
      <w:r>
        <w:t>The longer discussion was about role matching at the operations level. The seat as the client defines it carries both plant responsibility and a commercial line, and the market roles the survey data measures generally separate the two. Mr. Mcgee's position is that the combined scope is deliberate and is not going to change, so a match to either single-scope role understates the seat. My view is that he is right about the scope and that the honest treatment is a blended match, disclosed as a blend, with both component ranges shown alongside it so the board can see the construction rather than take our word for it. We agreed on that approach. David Weiss will rebuild the match on that basis.</w:t>
      </w:r>
    </w:p>
    <w:p>
      <w:r>
        <w:t>I restated our practice on names, at Mr. Mcgee's prompting rather than at my own, which I note with some appreciation. The written findings will describe seats and bands. Where an incumbent sits against a range, that placement is reported by role. If Hicks-Castillo wants a name-level view for its compensation committee, we will prepare that as a separate and short document with its own distribution list, and it will not be stapled to the study. He agreed, and said his concern was the mirror image of ours: he does not want the study circulating with names in it either.</w:t>
      </w:r>
    </w:p>
    <w:p>
      <w:r>
        <w:t>He then raised what happens if the ranges come back showing the company materially below market at two levels. He does not want a study that reads as a demand for money the business does not have. I told him what I would tell anyone. We report what the market pays. What to do about it is his decision and his board's. We can and will show the cost of closing to various points in the range so that the choice is priced rather than abstract, but we are not going to shade the ranges to make the answer comfortable. He took that well, and said he would rather be told early than managed.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Timing</w:t>
            </w:r>
          </w:p>
        </w:tc>
      </w:tr>
      <w:tr>
        <w:tc>
          <w:tcPr>
            <w:tcW w:type="dxa" w:w="2880"/>
          </w:tcPr>
          <w:p>
            <w:r>
              <w:t>Rebuild the operations role match as a disclosed blend, retaining both component ranges</w:t>
            </w:r>
          </w:p>
        </w:tc>
        <w:tc>
          <w:tcPr>
            <w:tcW w:type="dxa" w:w="2880"/>
          </w:tcPr>
          <w:p>
            <w:r>
              <w:t>David Weiss</w:t>
            </w:r>
          </w:p>
        </w:tc>
        <w:tc>
          <w:tcPr>
            <w:tcW w:type="dxa" w:w="2880"/>
          </w:tcPr>
          <w:p>
            <w:r>
              <w:t>Two weeks</w:t>
            </w:r>
          </w:p>
        </w:tc>
      </w:tr>
      <w:tr>
        <w:tc>
          <w:tcPr>
            <w:tcW w:type="dxa" w:w="2880"/>
          </w:tcPr>
          <w:p>
            <w:r>
              <w:t>Circulate the aging and weighting assumptions in writing for client review</w:t>
            </w:r>
          </w:p>
        </w:tc>
        <w:tc>
          <w:tcPr>
            <w:tcW w:type="dxa" w:w="2880"/>
          </w:tcPr>
          <w:p>
            <w:r>
              <w:t>David Weiss</w:t>
            </w:r>
          </w:p>
        </w:tc>
        <w:tc>
          <w:tcPr>
            <w:tcW w:type="dxa" w:w="2880"/>
          </w:tcPr>
          <w:p>
            <w:r>
              <w:t>Two weeks</w:t>
            </w:r>
          </w:p>
        </w:tc>
      </w:tr>
      <w:tr>
        <w:tc>
          <w:tcPr>
            <w:tcW w:type="dxa" w:w="2880"/>
          </w:tcPr>
          <w:p>
            <w:r>
              <w:t>Draft the cost-to-close exhibit at three points in the range</w:t>
            </w:r>
          </w:p>
        </w:tc>
        <w:tc>
          <w:tcPr>
            <w:tcW w:type="dxa" w:w="2880"/>
          </w:tcPr>
          <w:p>
            <w:r>
              <w:t>David Weiss</w:t>
            </w:r>
          </w:p>
        </w:tc>
        <w:tc>
          <w:tcPr>
            <w:tcW w:type="dxa" w:w="2880"/>
          </w:tcPr>
          <w:p>
            <w:r>
              <w:t>Before the next session</w:t>
            </w:r>
          </w:p>
        </w:tc>
      </w:tr>
      <w:tr>
        <w:tc>
          <w:tcPr>
            <w:tcW w:type="dxa" w:w="2880"/>
          </w:tcPr>
          <w:p>
            <w:r>
              <w:t>Confirm scope and distribution of the separate committee document</w:t>
            </w:r>
          </w:p>
        </w:tc>
        <w:tc>
          <w:tcPr>
            <w:tcW w:type="dxa" w:w="2880"/>
          </w:tcPr>
          <w:p>
            <w:r>
              <w:t>Sandra Fuentes</w:t>
            </w:r>
          </w:p>
        </w:tc>
        <w:tc>
          <w:tcPr>
            <w:tcW w:type="dxa" w:w="2880"/>
          </w:tcPr>
          <w:p>
            <w:r>
              <w:t>Before the next session</w:t>
            </w:r>
          </w:p>
        </w:tc>
      </w:tr>
      <w:tr>
        <w:tc>
          <w:tcPr>
            <w:tcW w:type="dxa" w:w="2880"/>
          </w:tcPr>
          <w:p>
            <w:r>
              <w:t>Find a defensible source for long-term incentive at the private peers, or state the limitation</w:t>
            </w:r>
          </w:p>
        </w:tc>
        <w:tc>
          <w:tcPr>
            <w:tcW w:type="dxa" w:w="2880"/>
          </w:tcPr>
          <w:p>
            <w:r>
              <w:t>David Weiss</w:t>
            </w:r>
          </w:p>
        </w:tc>
        <w:tc>
          <w:tcPr>
            <w:tcW w:type="dxa" w:w="2880"/>
          </w:tcPr>
          <w:p>
            <w:r>
              <w:t>Next session</w:t>
            </w:r>
          </w:p>
        </w:tc>
      </w:tr>
      <w:tr>
        <w:tc>
          <w:tcPr>
            <w:tcW w:type="dxa" w:w="2880"/>
          </w:tcPr>
          <w:p>
            <w:r>
              <w:t>Review and comment on the draft findings outline</w:t>
            </w:r>
          </w:p>
        </w:tc>
        <w:tc>
          <w:tcPr>
            <w:tcW w:type="dxa" w:w="2880"/>
          </w:tcPr>
          <w:p>
            <w:r>
              <w:t>David Mcgee</w:t>
            </w:r>
          </w:p>
        </w:tc>
        <w:tc>
          <w:tcPr>
            <w:tcW w:type="dxa" w:w="2880"/>
          </w:tcPr>
          <w:p>
            <w:r>
              <w:t>Next session</w:t>
            </w:r>
          </w:p>
        </w:tc>
      </w:tr>
    </w:tbl>
    <w:p>
      <w:r>
        <w:t>Corrections to these minutes should reach me within the week; after that they stand as the record. I will add, because it is true and because David Weiss will not write it about himself, that the normalization behind this session came back faster and cleaner than the engagement letter promised, and Mr. Mcgee said as much himself before we adjourned.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Compensation Benchmarking for Hicks-Castillo</dc:title>
  <dc:subject/>
  <dc:creator>Sandra Fuentes</dc:creator>
  <cp:keywords/>
  <dc:description>generated by python-docx</dc:description>
  <cp:lastModifiedBy>Sandra Fuentes</cp:lastModifiedBy>
  <cp:revision>1</cp:revision>
  <dcterms:created xsi:type="dcterms:W3CDTF">2023-07-04T09:00:00Z</dcterms:created>
  <dcterms:modified xsi:type="dcterms:W3CDTF">2023-07-04T09:00:00Z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