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Working session on the draft findings for the compensation benchmarking study for Hicks-Castillo. Minutes taken by Sandra Fuentes.</w:t>
      </w:r>
    </w:p>
    <w:p>
      <w:pPr>
        <w:pStyle w:val="Heading2"/>
      </w:pPr>
      <w:r>
        <w:t>Present</w:t>
      </w:r>
    </w:p>
    <w:p>
      <w:pPr>
        <w:pStyle w:val="ListBullet"/>
      </w:pPr>
      <w:r>
        <w:t>Sandra Fuentes, Principal, Northgate Talent Partners LLC</w:t>
      </w:r>
    </w:p>
    <w:p>
      <w:pPr>
        <w:pStyle w:val="ListBullet"/>
      </w:pPr>
      <w:r>
        <w:t>David Weiss, Research Associate, Northgate Talent Partners LLC</w:t>
      </w:r>
    </w:p>
    <w:p>
      <w:pPr>
        <w:pStyle w:val="ListBullet"/>
      </w:pPr>
      <w:r>
        <w:t>David Mcgee, General Manager, Hicks-Castillo</w:t>
      </w:r>
    </w:p>
    <w:p>
      <w:pPr>
        <w:pStyle w:val="Heading2"/>
      </w:pPr>
      <w:r>
        <w:t>Discussion</w:t>
      </w:r>
    </w:p>
    <w:p>
      <w:r>
        <w:t>We walked the draft findings end to end. David Weiss presented and I interrupted rather more than was strictly necessary. The headline is what we signaled at the midpoint and it has not moved: the company sits at or slightly above market on base salary at the top of the house, and materially below market on target total cash at the two levels beneath it. The gap is not in salary. It is in the annual incentive design, which pays out on a formula the peer set largely abandoned some years ago. That is a considerably more useful finding than a flat statement that the company underpays, because it points at a mechanism that can be fixed rather than at a number that can only be argued with.</w:t>
      </w:r>
    </w:p>
    <w:p>
      <w:r>
        <w:t>Mr. Mcgee's first question was the right one, which was how confident we are. David Weiss took him through the source log live, pulled two figures apart at his request, and showed the aging factor applied to each. The exercise took the better part of half an hour and was worth every minute of it. Mr. Mcgee said afterward that he had never been able to do that with a benchmarking study before. I record it here because it is the return on building the log in the first month instead of the seventh, and the next person tempted to defer it should read this paragraph.</w:t>
      </w:r>
    </w:p>
    <w:p>
      <w:r>
        <w:t>The long-term incentive section remains the weakest part of the study, and we said so out loud rather than waiting for him to find it. For the privately held peers we have survey participation and nothing better, and the resulting range is thin. My instruction to David Weiss stands: show it, label it, and set the cash-only view beside it so the reader can choose which to lean on. Mr. Mcgee accepted this without argument. His view is that his board will discount a thin range appropriately if we tell them it is thin, and will never forgive us for not saying so.</w:t>
      </w:r>
    </w:p>
    <w:p>
      <w:r>
        <w:t>On distribution and on names. The findings describe seats and bands throughout, and I confirmed that the current draft contains no incumbent names anywhere in it. The separate committee document is scoped, short, and goes only to the compensation committee under Mr. Mcgee's own cover. He asked whether Hicks-Castillo may share the study with its outside counsel. The answer is yes, subject to the same internal-use limitation the letter carries, and I will confirm that in writing so that neither of us has to rely on a memory of a meeting.</w:t>
      </w:r>
    </w:p>
    <w:p>
      <w:pPr>
        <w:pStyle w:val="Heading2"/>
      </w:pPr>
      <w:r>
        <w:t>Actions agreed</w:t>
      </w:r>
    </w:p>
    <w:p>
      <w:pPr>
        <w:pStyle w:val="ListBullet"/>
      </w:pPr>
      <w:r>
        <w:t>David Weiss: rework the annual incentive section to lead with the design finding rather than the gap number. Draft to me before it circulates.</w:t>
      </w:r>
    </w:p>
    <w:p>
      <w:pPr>
        <w:pStyle w:val="ListBullet"/>
      </w:pPr>
      <w:r>
        <w:t>David Weiss: finalize the long-term incentive treatment as labeled-and-thin, with the cash-only view alongside.</w:t>
      </w:r>
    </w:p>
    <w:p>
      <w:pPr>
        <w:pStyle w:val="ListBullet"/>
      </w:pPr>
      <w:r>
        <w:t>Sandra Fuentes: confirm the outside counsel sharing permission in writing.</w:t>
      </w:r>
    </w:p>
    <w:p>
      <w:pPr>
        <w:pStyle w:val="ListBullet"/>
      </w:pPr>
      <w:r>
        <w:t>Sandra Fuentes: send the compensation committee document scope for Mr. Mcgee's approval before it is drafted.</w:t>
      </w:r>
    </w:p>
    <w:p>
      <w:pPr>
        <w:pStyle w:val="ListBullet"/>
      </w:pPr>
      <w:r>
        <w:t>David Mcgee: identify the audience for the findings presentation, and say whether the committee sitting is the same session or a separate one.</w:t>
      </w:r>
    </w:p>
    <w:p>
      <w:pPr>
        <w:pStyle w:val="ListBullet"/>
      </w:pPr>
      <w:r>
        <w:t>David Weiss: assemble the exhibits in presentation order once the written findings are locked, and not before.</w:t>
      </w:r>
    </w:p>
    <w:p>
      <w:r>
        <w:t>Corrections to me within the week. I will say, since the record ought to carry it, that David Weiss handled being audited live on his own numbers with more composure than most people at twice his tenure would have managed, and the study is better than it would have been had we not spent the front end the way we did.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Compensation Benchmarking for Hicks-Castillo</dc:title>
  <dc:subject/>
  <dc:creator>Sandra Fuentes</dc:creator>
  <cp:keywords/>
  <dc:description>generated by python-docx</dc:description>
  <cp:lastModifiedBy>Sandra Fuentes</cp:lastModifiedBy>
  <cp:revision>1</cp:revision>
  <dcterms:created xsi:type="dcterms:W3CDTF">2023-10-02T09:00:00Z</dcterms:created>
  <dcterms:modified xsi:type="dcterms:W3CDTF">2023-10-02T09:00:00Z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