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General Counsel Search</w:t>
      </w:r>
    </w:p>
    <w:p>
      <w:pPr>
        <w:pStyle w:val="Heading2"/>
      </w:pPr>
      <w:r>
        <w:t>Status Summary</w:t>
      </w:r>
    </w:p>
    <w:p>
      <w:r>
        <w:t>The General Counsel search for Howard, Carlson and Tran is at approximately the midpoint of its expected duration and is on schedule. The position specification is approved and, following the working session last month, amended to reflect the forward contracting load rather than the current one. Market mapping is complete. Candidate development is active, and we expect to be in a position to deliver the slate on the schedule set at kickoff. Nothing in this report requires a decision from you this week, which is itself worth saying at the halfway mark of a search.</w:t>
      </w:r>
    </w:p>
    <w:p>
      <w:r>
        <w:t>Against the engagement budget of $62,000, we have invoiced the commencement installment and no expenses beyond nominal. The second installment falls due on slate delivery. We do not anticipate any expense exposure beyond candidate travel, which we will bring to you for approval before we incur it, per the engagement letter.</w:t>
      </w:r>
    </w:p>
    <w:p>
      <w:pPr>
        <w:pStyle w:val="Heading2"/>
      </w:pPr>
      <w:r>
        <w:t>Accomplishments This Period</w:t>
      </w:r>
    </w:p>
    <w:p>
      <w:r>
        <w:t>The specification addendum went out and came back signed, which closes the question that had been open since the engagement letter. The seat is now described the way Howard, Carlson and Tran actually intends to use it, and every candidate conversation from here forward is against that description. Sandra Fuentes drove this and it is the single most consequential thing that has happened in the search so far.</w:t>
      </w:r>
    </w:p>
    <w:p>
      <w:r>
        <w:t>The longlist has been reweighted accordingly. Two profiles carrying courtesy interest rather than genuine intent were dropped; I want to be plain that this was a judgment call made on the basis of the conversations rather than on anything on paper, and I stand behind it. Three profiles moved up. The working list now stands at nine, of which four are in active conversation with us.</w:t>
      </w:r>
    </w:p>
    <w:p>
      <w:r>
        <w:t>James Grant has completed first conversations with the three candidates who carry both the contracting depth and the regulatory exposure the amended specification calls for. All three are real. Two are in deputy seats at larger companies and would be stepping up in scope; the third is doing a version of this job now at comparable scale and is moving for reasons that have nothing to do with the role, which we have tested and are satisfied with. I am describing them by seat rather than by name here per firm practice, and Sandra Fuentes will take you through them individually when we speak.</w:t>
      </w:r>
    </w:p>
    <w:p>
      <w:r>
        <w:t>The assessment structure is drafted and includes the scope-of-work test we discussed: a candidate coming from a larger legal function is asked to work through how they would actually staff and execute the first year of the contracting load, not describe how they would manage it. It is a better question than the one we would have asked six weeks ago.</w:t>
      </w:r>
    </w:p>
    <w:p>
      <w:pPr>
        <w:pStyle w:val="Heading2"/>
      </w:pPr>
      <w:r>
        <w:t>Upcoming Work</w:t>
      </w:r>
    </w:p>
    <w:p>
      <w:r>
        <w:t>Assessment interviews with the four active candidates begin in the coming weeks, conducted by Sandra Fuentes and James Grant against the approved structure. References will be initiated on any candidate we intend to carry to slate, on a confidential basis and only with the candidate's consent, which at this stage is not a formality: everyone we are talking to is currently employed. I will continue to maintain the market map and to develop against the three profiles that are the least well covered, so that a withdrawal at slate does not leave us restarting research.</w:t>
      </w:r>
    </w:p>
    <w:p>
      <w:r>
        <w:t>Slate delivery follows assessment. We will present candidates we would defend in front of your board, with written assessments against the amended specification, and we will tell you if the slate is thinner than we want it to be rather than padding it to a number.</w:t>
      </w:r>
    </w:p>
    <w:p>
      <w:pPr>
        <w:pStyle w:val="Heading2"/>
      </w:pPr>
      <w:r>
        <w:t>Risks</w:t>
      </w:r>
    </w:p>
    <w:p>
      <w:r>
        <w:t>The first risk is speed, and it is the one I would ask you to hold onto. The three dual-profile candidates are being contacted by others; the compressed internal interview window you agreed to at the working session is what protects us here, and if that window slips the risk becomes real quickly. We will not lose one of these candidates on compensation. We could lose one on a three-week gap between our assessment and your first conversation.</w:t>
      </w:r>
    </w:p>
    <w:p>
      <w:r>
        <w:t>The second risk is the outside counsel conversation, which remains outstanding after two requests. It is a half hour. It is the last input the reference approach is waiting on, and it is now the only item on our critical path that we cannot resolve ourselves.</w:t>
      </w:r>
    </w:p>
    <w:p>
      <w:r>
        <w:t>The third is the scope risk noted above and it is inherent rather than emergent: candidates stepping up from deputy seats sometimes discover that they preferred the larger platform. We test for it, we cannot eliminate it, and it is the reason the engagement letter carries a replacement provision. I raise it here so that it is on the record at the midpoint rather than introduced at the offer stage.</w:t>
      </w:r>
    </w:p>
    <w:p>
      <w:r>
        <w:t>Prepared by Nicole Donovan, Research Associate.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General Counsel Search for Howard, Carlson and Tran</dc:title>
  <dc:subject/>
  <dc:creator>Nicole Donovan</dc:creator>
  <cp:keywords/>
  <dc:description>generated by python-docx</dc:description>
  <cp:lastModifiedBy>Nicole Donovan</cp:lastModifiedBy>
  <cp:revision>1</cp:revision>
  <dcterms:created xsi:type="dcterms:W3CDTF">2019-07-06T09:00:00Z</dcterms:created>
  <dcterms:modified xsi:type="dcterms:W3CDTF">2019-07-06T09:00:00Z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