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Slate Calibration</w:t>
      </w:r>
    </w:p>
    <w:p>
      <w:pPr>
        <w:pStyle w:val="Heading2"/>
      </w:pPr>
      <w:r>
        <w:t>Attendees</w:t>
      </w:r>
    </w:p>
    <w:p>
      <w:pPr>
        <w:pStyle w:val="ListBullet"/>
      </w:pPr>
      <w:r>
        <w:t>Sandra Fuentes, Principal, Northgate Talent Partners (chair)</w:t>
      </w:r>
    </w:p>
    <w:p>
      <w:pPr>
        <w:pStyle w:val="ListBullet"/>
      </w:pPr>
      <w:r>
        <w:t>James Grant, Principal, Northgate Talent Partners</w:t>
      </w:r>
    </w:p>
    <w:p>
      <w:pPr>
        <w:pStyle w:val="ListBullet"/>
      </w:pPr>
      <w:r>
        <w:t>Nicole Donovan, Research Associate, Northgate Talent Partners</w:t>
      </w:r>
    </w:p>
    <w:p>
      <w:pPr>
        <w:pStyle w:val="ListBullet"/>
      </w:pPr>
      <w:r>
        <w:t>Amy Alvarez, General Manager, Howard, Carlson and Tran</w:t>
      </w:r>
    </w:p>
    <w:p>
      <w:pPr>
        <w:pStyle w:val="Heading2"/>
      </w:pPr>
      <w:r>
        <w:t>Discussion</w:t>
      </w:r>
    </w:p>
    <w:p>
      <w:r>
        <w:t>The purpose of the session was to calibrate the developing longlist against the approved position specification for Howard, Carlson and Tran, and to do so before the slate takes its final shape rather than after. I opened by restating the standard we hold ourselves to: candidates are discussed by their current seat and their market, not by name, and that discipline applies in this room as much as in our written work. Amy Alvarez agreed to carry the same practice into any conversation on her side of the table.</w:t>
      </w:r>
    </w:p>
    <w:p>
      <w:r>
        <w:t>Nicole Donovan presented the market map and the eleven profiles currently carried against it. She distinguished carefully between the candidates who have the contracting depth the specification calls for and those who have the regulatory exposure, and she was direct that only three have both at the scope we need. She also reported, without dressing it up, that two of the eleven have given her the kind of interest that is courtesy rather than intent, and recommended we carry them no further. The team accepted that recommendation. I want the record to show that the recommendation was hers and that it was made on the basis of the conversations rather than on paper.</w:t>
      </w:r>
    </w:p>
    <w:p>
      <w:r>
        <w:t>James Grant raised the question the specification does not answer, which is whether this client is hiring for the contracting load it has today or for the one it expects to have in two years. His view, from the conversations he has had directly, is that the answer is the second one, and that the profiles we are weighting most heavily are calibrated to the first. Amy Alvarez confirmed the second is correct and said the growth plan makes it so. This is a material clarification and it moves two profiles up and one down.</w:t>
      </w:r>
    </w:p>
    <w:p>
      <w:r>
        <w:t>We then discussed the candidate who is a step up in scope from a deputy seat at a considerably larger company. Amy Alvarez asked, reasonably, whether the step is too large. My position is that the step is the point: a candidate already doing this job at this scale elsewhere has no reason to move, and the ones who do move are the ones for whom this is a promotion. The risk is not capability. The risk is that a candidate coming from a larger legal function underestimates how much of this role is doing the work rather than directing it, and that is something we will test in assessment rather than assume away.</w:t>
      </w:r>
    </w:p>
    <w:p>
      <w:r>
        <w:t>Finally, we agreed the compensation range in the specification is holding so far, with one caveat: the three candidates who have both halves of the profile are all being called by others, and if we lose one it will not be on money. It will be on speed. Amy Alvarez said she would compress her internal interview scheduling accordingly, which we appreciate more than she probably realizes.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Reweight the longlist against the forward contracting load rather than the current one; drop the two courtesy-interest profiles.</w:t>
            </w:r>
          </w:p>
        </w:tc>
        <w:tc>
          <w:tcPr>
            <w:tcW w:type="dxa" w:w="2880"/>
          </w:tcPr>
          <w:p>
            <w:r>
              <w:t>Nicole Donovan</w:t>
            </w:r>
          </w:p>
        </w:tc>
        <w:tc>
          <w:tcPr>
            <w:tcW w:type="dxa" w:w="2880"/>
          </w:tcPr>
          <w:p>
            <w:r>
              <w:t>Within one week</w:t>
            </w:r>
          </w:p>
        </w:tc>
      </w:tr>
      <w:tr>
        <w:tc>
          <w:tcPr>
            <w:tcW w:type="dxa" w:w="2880"/>
          </w:tcPr>
          <w:p>
            <w:r>
              <w:t>Circulate a revised specification addendum capturing the growth-plan clarification; obtain written confirmation from the client.</w:t>
            </w:r>
          </w:p>
        </w:tc>
        <w:tc>
          <w:tcPr>
            <w:tcW w:type="dxa" w:w="2880"/>
          </w:tcPr>
          <w:p>
            <w:r>
              <w:t>Sandra Fuentes</w:t>
            </w:r>
          </w:p>
        </w:tc>
        <w:tc>
          <w:tcPr>
            <w:tcW w:type="dxa" w:w="2880"/>
          </w:tcPr>
          <w:p>
            <w:r>
              <w:t>Within one week</w:t>
            </w:r>
          </w:p>
        </w:tc>
      </w:tr>
      <w:tr>
        <w:tc>
          <w:tcPr>
            <w:tcW w:type="dxa" w:w="2880"/>
          </w:tcPr>
          <w:p>
            <w:r>
              <w:t>Direct conversations with the three dual-profile candidates to establish real timing and real interest.</w:t>
            </w:r>
          </w:p>
        </w:tc>
        <w:tc>
          <w:tcPr>
            <w:tcW w:type="dxa" w:w="2880"/>
          </w:tcPr>
          <w:p>
            <w:r>
              <w:t>James Grant</w:t>
            </w:r>
          </w:p>
        </w:tc>
        <w:tc>
          <w:tcPr>
            <w:tcW w:type="dxa" w:w="2880"/>
          </w:tcPr>
          <w:p>
            <w:r>
              <w:t>Ongoing, first read within ten days</w:t>
            </w:r>
          </w:p>
        </w:tc>
      </w:tr>
      <w:tr>
        <w:tc>
          <w:tcPr>
            <w:tcW w:type="dxa" w:w="2880"/>
          </w:tcPr>
          <w:p>
            <w:r>
              <w:t>Confirm the internal interview panel and compress the scheduling window on the client side.</w:t>
            </w:r>
          </w:p>
        </w:tc>
        <w:tc>
          <w:tcPr>
            <w:tcW w:type="dxa" w:w="2880"/>
          </w:tcPr>
          <w:p>
            <w:r>
              <w:t>Amy Alvarez</w:t>
            </w:r>
          </w:p>
        </w:tc>
        <w:tc>
          <w:tcPr>
            <w:tcW w:type="dxa" w:w="2880"/>
          </w:tcPr>
          <w:p>
            <w:r>
              <w:t>Before slate delivery</w:t>
            </w:r>
          </w:p>
        </w:tc>
      </w:tr>
      <w:tr>
        <w:tc>
          <w:tcPr>
            <w:tcW w:type="dxa" w:w="2880"/>
          </w:tcPr>
          <w:p>
            <w:r>
              <w:t>Draft the assessment structure, including the scope-of-work test discussed above.</w:t>
            </w:r>
          </w:p>
        </w:tc>
        <w:tc>
          <w:tcPr>
            <w:tcW w:type="dxa" w:w="2880"/>
          </w:tcPr>
          <w:p>
            <w:r>
              <w:t>Sandra Fuentes</w:t>
            </w:r>
          </w:p>
        </w:tc>
        <w:tc>
          <w:tcPr>
            <w:tcW w:type="dxa" w:w="2880"/>
          </w:tcPr>
          <w:p>
            <w:r>
              <w:t>Before first assessment interview</w:t>
            </w:r>
          </w:p>
        </w:tc>
      </w:tr>
      <w:tr>
        <w:tc>
          <w:tcPr>
            <w:tcW w:type="dxa" w:w="2880"/>
          </w:tcPr>
          <w:p>
            <w:r>
              <w:t>Half hour with outside counsel, still outstanding from the last request.</w:t>
            </w:r>
          </w:p>
        </w:tc>
        <w:tc>
          <w:tcPr>
            <w:tcW w:type="dxa" w:w="2880"/>
          </w:tcPr>
          <w:p>
            <w:r>
              <w:t>Amy Alvarez</w:t>
            </w:r>
          </w:p>
        </w:tc>
        <w:tc>
          <w:tcPr>
            <w:tcW w:type="dxa" w:w="2880"/>
          </w:tcPr>
          <w:p>
            <w:r>
              <w:t>As soon as practicable</w:t>
            </w:r>
          </w:p>
        </w:tc>
      </w:tr>
    </w:tbl>
    <w:p>
      <w:r>
        <w:t>The session ran long and was worth every minute of it. Thank you all, and particularly Amy Alvarez for being willing to say plainly that the specification we wrote was calibrated to the wrong year. That is a much easier conversation now than it would have been in September.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General Counsel Search for Howard, Carlson and Tran</dc:title>
  <dc:subject/>
  <dc:creator>Sandra Fuentes</dc:creator>
  <cp:keywords/>
  <dc:description>generated by python-docx</dc:description>
  <cp:lastModifiedBy>Sandra Fuentes</cp:lastModifiedBy>
  <cp:revision>1</cp:revision>
  <dcterms:created xsi:type="dcterms:W3CDTF">2019-06-24T09:00:00Z</dcterms:created>
  <dcterms:modified xsi:type="dcterms:W3CDTF">2019-06-24T09:00:00Z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