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CFO Search for Roach, Moss and Hall</w:t>
      </w:r>
    </w:p>
    <w:p>
      <w:r>
        <w:t>Prepared by Sandra Fuentes, Principal. Confidential to Roach, Moss and Hall and to the interview panel.</w:t>
      </w:r>
    </w:p>
    <w:p>
      <w:pPr>
        <w:pStyle w:val="Heading2"/>
      </w:pPr>
      <w:r>
        <w:t>Summary</w:t>
      </w:r>
    </w:p>
    <w:p>
      <w:r>
        <w:t>The search is at its midpoint and on schedule. The position specification is agreed and has not moved since sign-off, the market map is complete and has been extended once at your request, and the approach phase is substantially done. We are assembling the slate now. Nothing has occurred that would cause me to revise the timetable we set at the outset. One thing could, and it is set out under risks below, and it sits with your office rather than with mine.</w:t>
      </w:r>
    </w:p>
    <w:p>
      <w:pPr>
        <w:pStyle w:val="Heading2"/>
      </w:pPr>
      <w:r>
        <w:t>Accomplishments This Period</w:t>
      </w:r>
    </w:p>
    <w:p>
      <w:r>
        <w:t>The map is finished and has been through a second pass. Jeffrey Patterson has identified and qualified the full universe against the specification and reduced it to a longlist each of us can defend name by name, with the reason for every exclusion written down. That last part matters more than it sounds. A search firm that cannot tell you why it did not show you someone is a search firm that did not look.</w:t>
      </w:r>
    </w:p>
    <w:p>
      <w:r>
        <w:t>Approach calls are complete against the longlist. James Grant has spoken to the large majority of it, and conversion from approach to real conversation is running ahead of what we projected at kickoff. I attribute that less to our persuasion than to the fact that the role is genuinely interesting to people one move below the seat, which is the segment the map told us to work. Of those who engaged, a working group has come through a first assessment conversation and a smaller number are in reference work now.</w:t>
      </w:r>
    </w:p>
    <w:p>
      <w:r>
        <w:t>We also tested the market one tier above the original scale band, at your request and without amending the specification. That work is done and the answer is that it does not help you. At that level, the candidates who would move are moving for reasons that would make them a short tenure here, and the ones who would stay will not move for a business of this scale. I would rather tell you that plainly than quietly show you two of them and let you conclude it yourself in the interview.</w:t>
      </w:r>
    </w:p>
    <w:p>
      <w:pPr>
        <w:pStyle w:val="Heading2"/>
      </w:pPr>
      <w:r>
        <w:t>Upcoming Work</w:t>
      </w:r>
    </w:p>
    <w:p>
      <w:r>
        <w:t>Between now and the slate presentation we complete reference work on the assessed group, take a compensation read on each of them against your range, and prepare the slate documents. Candidates will be presented by seat, market, and assessed fit, with names disclosed to you and the panel at presentation and not before. James Grant will hold the candidate relationships through presentation and into the interview rounds. Jeffrey Patterson will keep the map live, because a map that stops being maintained at the slate stage is what leaves a search with nowhere to go when a finalist withdraws, and finalists withdraw.</w:t>
      </w:r>
    </w:p>
    <w:p>
      <w:r>
        <w:t>Your office and mine should fix the interview dates now. I have raised this twice and I will keep raising it until it is done.</w:t>
      </w:r>
    </w:p>
    <w:p>
      <w:pPr>
        <w:pStyle w:val="Heading2"/>
      </w:pPr>
      <w:r>
        <w:t>Engagement Budget</w:t>
      </w:r>
    </w:p>
    <w:p>
      <w:r>
        <w:t>The assignment is being delivered against the fixed fee of $92,000 set out in the engagement letter. That figure has not changed and will not change for the work described here. Two of the three installments have been invoiced on the schedule in the letter. Out-of-pocket expenses to date are modest and consist of candidate travel for the assessment conversations; they are itemized on each invoice and sit well inside what a search of this shape usually carries. The market test one tier up was absorbed within the fee rather than billed as additional scope. We agreed to look, and I would rather not have that conversation with you.</w:t>
      </w:r>
    </w:p>
    <w:p>
      <w:pPr>
        <w:pStyle w:val="Heading2"/>
      </w:pPr>
      <w:r>
        <w:t>Risks</w:t>
      </w:r>
    </w:p>
    <w:p>
      <w:r>
        <w:t>Relocation is unresolved and it is now the live risk on this search. A meaningful part of the assessed group sits outside your metropolitan area. Every week the position in principle is not settled is a week we are managing candidates whose interest we may not be able to convert, and a candidate who senses a company that has not decided how badly it wants them will find something else to look at. I do not need a policy. I need a yes or a no.</w:t>
      </w:r>
    </w:p>
    <w:p>
      <w:r>
        <w:t>Second, the compensation range. Two of the strongest people in the assessed group already sit at or near the top of the band as we understand it. This is the ordinary arithmetic of hiring above your last officer's market rather than a surprise, and it is manageable, but it is manageable now and expensive at offer. We should have that conversation before the slate rather than after it.</w:t>
      </w:r>
    </w:p>
    <w:p>
      <w:r>
        <w:t>Third, and smaller. Once the slate is presented, the market gives you about three weeks before your strongest candidate concludes that the decision is not really being made. Roach, Moss and Hall has been decisive with us so far and I have no reason to think that changes. I raise it only so that it is on the record before it can become a problem rather than after.</w:t>
      </w:r>
    </w:p>
    <w:p>
      <w:r>
        <w:t>This has been an unusually clear-headed client to work with and it shows in where the search stands at the halfway mark. Thank you for that. I am at your disposal for anything here you would rather discuss on the telephone.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CFO Search for Roach, Moss and Hall</dc:title>
  <dc:subject/>
  <dc:creator>Sandra Fuentes</dc:creator>
  <cp:keywords/>
  <dc:description>generated by python-docx</dc:description>
  <cp:lastModifiedBy>Sandra Fuentes</cp:lastModifiedBy>
  <cp:revision>1</cp:revision>
  <dcterms:created xsi:type="dcterms:W3CDTF">2015-10-15T09:00:00Z</dcterms:created>
  <dcterms:modified xsi:type="dcterms:W3CDTF">2015-10-15T09:00:00Z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