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Longlist Review: CFO Search for Roach, Moss and Hall</w:t>
      </w:r>
    </w:p>
    <w:p>
      <w:r>
        <w:t>Internal working session, firm conference room. Minutes taken by James Grant.</w:t>
      </w:r>
    </w:p>
    <w:p>
      <w:pPr>
        <w:pStyle w:val="Heading2"/>
      </w:pPr>
      <w:r>
        <w:t>Attendees</w:t>
      </w:r>
    </w:p>
    <w:p>
      <w:pPr>
        <w:pStyle w:val="ListBullet"/>
      </w:pPr>
      <w:r>
        <w:t>Sandra Fuentes, Principal (chair)</w:t>
      </w:r>
    </w:p>
    <w:p>
      <w:pPr>
        <w:pStyle w:val="ListBullet"/>
      </w:pPr>
      <w:r>
        <w:t>Jeffrey Patterson, Research Consultant</w:t>
      </w:r>
    </w:p>
    <w:p>
      <w:pPr>
        <w:pStyle w:val="ListBullet"/>
      </w:pPr>
      <w:r>
        <w:t>James Grant, Senior Consultant</w:t>
      </w:r>
    </w:p>
    <w:p>
      <w:pPr>
        <w:pStyle w:val="ListBullet"/>
      </w:pPr>
      <w:r>
        <w:t>Jason Myers, Chief Operating Officer, Roach, Moss and Hall (by telephone, final item only)</w:t>
      </w:r>
    </w:p>
    <w:p>
      <w:pPr>
        <w:pStyle w:val="Heading2"/>
      </w:pPr>
      <w:r>
        <w:t>Discussion</w:t>
      </w:r>
    </w:p>
    <w:p>
      <w:r>
        <w:t>Jeffrey Patterson walked the longlist. Twenty-two names survive the specification, cut down from something north of sixty, and he took us through the cut rather than the survivors, which is the right way round and not how most people do it. Everyone we dropped, we dropped for a reason he could say out loud. Four came off for tenure, six for scale, and the rest because the close-and-explain piece is nowhere in their history and we are not going to teach it inside a three-month search.</w:t>
      </w:r>
    </w:p>
    <w:p>
      <w:r>
        <w:t>Of the twenty-two, eleven have been approached and nine took the call. Two declined without a conversation, one of them the divisional finance lead we had circled first, which is a real loss. Not moving this year, said so plainly, and did not leave a door open. I had a long argument with myself about going back in three weeks anyway. Sandra Fuentes told me not to and she is right, though I will note for the file that I disagree with the reasoning and not the decision.</w:t>
      </w:r>
    </w:p>
    <w:p>
      <w:r>
        <w:t>Sandra Fuentes then asked what the nine have in common that the other thirteen do not, which stopped the room for a minute. Jeffrey Patterson's answer, which I think is correct, is that every one of them is a single move away from a seat they cannot get where they are. That is not a compliment to our search, it is a description of the market, but it tells us what the approach call should lead with and we changed the opening on the spot.</w:t>
      </w:r>
    </w:p>
    <w:p>
      <w:r>
        <w:t>Compensation came up and we did not resolve it. Two of the nine already sit at or above where we believe the client will land, and Sandra Fuentes will not put an indicative number in front of a candidate before it is confirmed. My view is that we lose people to silence. Her view is that we lose more to a number we have to walk back, and that the ones we lose to silence were never coming. We are doing it her way.</w:t>
      </w:r>
    </w:p>
    <w:p>
      <w:r>
        <w:t>Jason Myers joined by telephone for the last fifteen minutes. Sandra Fuentes gave him the count and the shape by seat and market, no names, and told him where the compensation question sits. He was untroubled by the volume of approaches and troubled by relocation, which he has still not answered in principle; he said he would come back on it this week. He also mentioned, unprompted, that his board chair has begun asking about the timetable, which is worth knowing and was not on the agenda. He asked whether Jim thought the slate was there. I said yes with the relocation answer and no without it, and he heard it.</w:t>
      </w:r>
    </w:p>
    <w:p>
      <w:pPr>
        <w:pStyle w:val="Heading2"/>
      </w:pPr>
      <w:r>
        <w:t>Action Items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Item</w:t>
            </w:r>
          </w:p>
        </w:tc>
        <w:tc>
          <w:tcPr>
            <w:tcW w:type="dxa" w:w="2880"/>
          </w:tcPr>
          <w:p>
            <w:r>
              <w:rPr>
                <w:b/>
              </w:rPr>
              <w:t>Owner</w:t>
            </w:r>
          </w:p>
        </w:tc>
        <w:tc>
          <w:tcPr>
            <w:tcW w:type="dxa" w:w="2880"/>
          </w:tcPr>
          <w:p>
            <w:r>
              <w:rPr>
                <w:b/>
              </w:rPr>
              <w:t>Due</w:t>
            </w:r>
          </w:p>
        </w:tc>
      </w:tr>
      <w:tr>
        <w:tc>
          <w:tcPr>
            <w:tcW w:type="dxa" w:w="2880"/>
          </w:tcPr>
          <w:p>
            <w:r>
              <w:t>Relocation position in principle, confirmed in writing</w:t>
            </w:r>
          </w:p>
        </w:tc>
        <w:tc>
          <w:tcPr>
            <w:tcW w:type="dxa" w:w="2880"/>
          </w:tcPr>
          <w:p>
            <w:r>
              <w:t>Jason Myers</w:t>
            </w:r>
          </w:p>
        </w:tc>
        <w:tc>
          <w:tcPr>
            <w:tcW w:type="dxa" w:w="2880"/>
          </w:tcPr>
          <w:p>
            <w:r>
              <w:t>This week</w:t>
            </w:r>
          </w:p>
        </w:tc>
      </w:tr>
      <w:tr>
        <w:tc>
          <w:tcPr>
            <w:tcW w:type="dxa" w:w="2880"/>
          </w:tcPr>
          <w:p>
            <w:r>
              <w:t>Approach the remaining eleven; nothing goes out under the old specification language</w:t>
            </w:r>
          </w:p>
        </w:tc>
        <w:tc>
          <w:tcPr>
            <w:tcW w:type="dxa" w:w="2880"/>
          </w:tcPr>
          <w:p>
            <w:r>
              <w:t>James Grant</w:t>
            </w:r>
          </w:p>
        </w:tc>
        <w:tc>
          <w:tcPr>
            <w:tcW w:type="dxa" w:w="2880"/>
          </w:tcPr>
          <w:p>
            <w:r>
              <w:t>Within two weeks</w:t>
            </w:r>
          </w:p>
        </w:tc>
      </w:tr>
      <w:tr>
        <w:tc>
          <w:tcPr>
            <w:tcW w:type="dxa" w:w="2880"/>
          </w:tcPr>
          <w:p>
            <w:r>
              <w:t>Second pass over the divisional segment to backfill the two declines</w:t>
            </w:r>
          </w:p>
        </w:tc>
        <w:tc>
          <w:tcPr>
            <w:tcW w:type="dxa" w:w="2880"/>
          </w:tcPr>
          <w:p>
            <w:r>
              <w:t>Jeffrey Patterson</w:t>
            </w:r>
          </w:p>
        </w:tc>
        <w:tc>
          <w:tcPr>
            <w:tcW w:type="dxa" w:w="2880"/>
          </w:tcPr>
          <w:p>
            <w:r>
              <w:t>Within two weeks</w:t>
            </w:r>
          </w:p>
        </w:tc>
      </w:tr>
      <w:tr>
        <w:tc>
          <w:tcPr>
            <w:tcW w:type="dxa" w:w="2880"/>
          </w:tcPr>
          <w:p>
            <w:r>
              <w:t>Confirm the compensation range with the client before any indicative figure reaches a candidate</w:t>
            </w:r>
          </w:p>
        </w:tc>
        <w:tc>
          <w:tcPr>
            <w:tcW w:type="dxa" w:w="2880"/>
          </w:tcPr>
          <w:p>
            <w:r>
              <w:t>Sandra Fuentes</w:t>
            </w:r>
          </w:p>
        </w:tc>
        <w:tc>
          <w:tcPr>
            <w:tcW w:type="dxa" w:w="2880"/>
          </w:tcPr>
          <w:p>
            <w:r>
              <w:t>Before slate presentation</w:t>
            </w:r>
          </w:p>
        </w:tc>
      </w:tr>
      <w:tr>
        <w:tc>
          <w:tcPr>
            <w:tcW w:type="dxa" w:w="2880"/>
          </w:tcPr>
          <w:p>
            <w:r>
              <w:t>Candidate file notes current, by seat and not by name</w:t>
            </w:r>
          </w:p>
        </w:tc>
        <w:tc>
          <w:tcPr>
            <w:tcW w:type="dxa" w:w="2880"/>
          </w:tcPr>
          <w:p>
            <w:r>
              <w:t>James Grant</w:t>
            </w:r>
          </w:p>
        </w:tc>
        <w:tc>
          <w:tcPr>
            <w:tcW w:type="dxa" w:w="2880"/>
          </w:tcPr>
          <w:p>
            <w:r>
              <w:t>Ongoing, same day</w:t>
            </w:r>
          </w:p>
        </w:tc>
      </w:tr>
    </w:tbl>
    <w:p>
      <w:r>
        <w:t>Next working session in a week. Minutes to the engagement file.</w:t>
      </w:r>
    </w:p>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1E4D2B"/>
        <w:sz w:val="28"/>
      </w:rPr>
      <w:t>Northgate Talent Partners LLC</w:t>
    </w:r>
  </w:p>
  <w:p>
    <w:r>
      <w:rPr>
        <w:sz w:val="18"/>
      </w:rPr>
      <w:t>www.northgatetalent.com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Northgate Talent Partners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Meeting Minutes: CFO Search for Roach, Moss and Hall</dc:title>
  <dc:subject/>
  <dc:creator>James Grant</dc:creator>
  <cp:keywords/>
  <dc:description>generated by python-docx</dc:description>
  <cp:lastModifiedBy>James Grant</cp:lastModifiedBy>
  <cp:revision>1</cp:revision>
  <dcterms:created xsi:type="dcterms:W3CDTF">2015-10-05T09:00:00Z</dcterms:created>
  <dcterms:modified xsi:type="dcterms:W3CDTF">2015-10-05T09:00:00Z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