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Northgate Talent Partners LLC: Firm Overview</w:t>
      </w:r>
    </w:p>
    <w:p>
      <w:r>
        <w:t>Northgate Talent Partners is a retained executive search firm. We place senior operators and board directors at mid-market companies. We work on a small number of searches at a time, and the consultant who sits with you in the first meeting is the consultant who calls you every week until the seat is filled. There is no version of this firm in which a client meets a senior name during the pitch and then never hears from her again.</w:t>
      </w:r>
    </w:p>
    <w:p>
      <w:r>
        <w:t>Mid-market leadership hiring is not a smaller version of large-cap hiring. The candidate a mid-market company needs is usually someone who has run something bigger and wants a shorter distance between a decision and its consequences, or someone who has run something adjacent and is ready to run the whole thing. Neither of those people is answering a posting. They are found, and then they are persuaded, and the persuading takes months of correspondence that never appears in any document. What follows is what the documents cover.</w:t>
      </w:r>
    </w:p>
    <w:p>
      <w:pPr>
        <w:pStyle w:val="Heading2"/>
      </w:pPr>
      <w:r>
        <w:t>Service Lines</w:t>
      </w:r>
    </w:p>
    <w:p>
      <w:pPr>
        <w:pStyle w:val="ListBullet"/>
      </w:pPr>
      <w:r>
        <w:t>Retained executive search. Chief executive, president, and senior functional leadership for privately held and sponsor-backed mid-market companies.</w:t>
      </w:r>
    </w:p>
    <w:p>
      <w:pPr>
        <w:pStyle w:val="ListBullet"/>
      </w:pPr>
      <w:r>
        <w:t>Board and director search. Independent and non-executive directors, including mandates scoped to a specific committee need.</w:t>
      </w:r>
    </w:p>
    <w:p>
      <w:pPr>
        <w:pStyle w:val="ListBullet"/>
      </w:pPr>
      <w:r>
        <w:t>Research and market mapping. A structured read of who is actually available in a market, delivered before a search is opened. It has more than once persuaded a client not to open one.</w:t>
      </w:r>
    </w:p>
    <w:p>
      <w:pPr>
        <w:pStyle w:val="Heading2"/>
      </w:pPr>
      <w:r>
        <w:t>How We Work</w:t>
      </w:r>
    </w:p>
    <w:p>
      <w:r>
        <w:t>Every engagement begins with a position specification, and we spend longer on it than clients expect. It is where a board discovers that three of its members want three different people. We would rather find that out in writing, in week two, than in a final interview six months later. The specification is drafted by our research bench and edited by the consultant who owns the search, and it does not go out until the client can read it and recognize their own company in it.</w:t>
      </w:r>
    </w:p>
    <w:p>
      <w:r>
        <w:t>From there the work is correspondence: a long, careful thread with people who mostly are not looking. We report on a fixed rhythm whether or not the news is good. Our research bench, Mary Parker and Larry Russell, does the mapping and drafting that stands behind every slate, and clients see their work long before they meet them. When a slate is thin, the client is told it is thin. A padded slate wastes the client's calendar and insults the two candidates who actually belong on it. Occasionally a thin slate means the specification is wrong rather than the market is empty, and that conversation is uncomfortable and worth having early.</w:t>
      </w:r>
    </w:p>
    <w:p>
      <w:r>
        <w:t>We are a retained firm, which means the client is buying the search rather than the outcome, and we think the client should understand exactly what that buys before signing anything. The fee schedule, the reporting rhythm, and what happens if the search is paused or the seat is filled internally are all set out in the search agreement, in plain terms, before any work begins. Nobody should be reading their own engagement terms for the first time in month three.</w:t>
      </w:r>
    </w:p>
    <w:p>
      <w:r>
        <w:t>Discretion is not a courtesy here, it is the product. In anything that circulates beyond the consultant running the search, candidates are described by their current scope and seat rather than by name. The people we most want to reach are the ones with the most to lose by being seen in a process, and they talk to us because the firm has never given them a reason not to.</w:t>
      </w:r>
    </w:p>
    <w:p>
      <w:pPr>
        <w:pStyle w:val="Heading2"/>
      </w:pPr>
      <w:r>
        <w:t>Representative Client Work</w:t>
      </w:r>
    </w:p>
    <w:p>
      <w:r>
        <w:t>The firm has been retained for five engagements to date. Our first client was Roach, Moss and Hall, and the work since has been for Coleman Ltd, Sanchez-Baker, Davis and Sons, and most recently Howard, Carlson and Tran. That is a deliberately short list. We take the number of searches we can staff properly, which is fewer than we are asked to take, and repeat business has mattered more to us than volume.</w:t>
      </w:r>
    </w:p>
    <w:p>
      <w:r>
        <w:t>References from any of the above are available on request, and we would encourage you to ask them the uncomfortable questions rather than the polite ones: whether we told them something they did not want to hear, and how early. If you are weighing a search and are not yet certain you need one, that is a conversation worth having before you are certain. Kelly Chavez, Managing Director, takes those calls directly.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Kelly Chavez</dc:creator>
  <cp:keywords/>
  <dc:description>generated by python-docx</dc:description>
  <cp:lastModifiedBy>Kelly Chavez</cp:lastModifiedBy>
  <cp:revision>1</cp:revision>
  <dcterms:created xsi:type="dcterms:W3CDTF">2021-09-24T09:00:00Z</dcterms:created>
  <dcterms:modified xsi:type="dcterms:W3CDTF">2021-09-24T09:00:00Z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