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David Weiss, Research Associate</w:t>
      </w:r>
    </w:p>
    <w:p>
      <w:r>
        <w:t>David Weiss starts this week on the research bench as a Research Associate, working to the consultant on each assignment. He was the fastest of anyone we saw on the research exercise, and he came back wanting to talk it through rather than waiting to be told whether he had it right. That is the part I liked and it is why we made the offer.</w:t>
      </w:r>
    </w:p>
    <w:p>
      <w:r>
        <w:t>Two things about being fast. The first is that speed on the bench is genuinely valuable here, because a market map that lands early gives the consultant a week they would not otherwise have had. The second is that fast is not the same as finished, and for a while his work goes out under a consultant's name and not his own. Nothing he writes reaches a client until someone senior has read it. That is not a comment on him; it is how every associate here has started.</w:t>
      </w:r>
    </w:p>
    <w:p>
      <w:r>
        <w:t>A practical matter that will save everyone time. David Weiss is the second Weiss on this roster, and in writing, both of them get a first name and a surname, every single time. This is not fussiness about form. A note that says only "Weiss" reaches the wrong desk, or worse, reaches both and gets handled by neither, and in a business that runs on messages left for people who are on the telephone, that is not a small tax. Sign in full and expect the same back from everyone here, including me.</w:t>
      </w:r>
    </w:p>
    <w:p>
      <w:r>
        <w:t>The discretion line is the thing to learn first, and it sits further out than it looks from outside the firm. Candidates are described by the seat they hold and not by name in anything that circulates. That applies to a note to a client, to a conversation in the office with the door open, and to a friendly question over dinner from someone who is only making conversation. The instinct to be helpful is the thing that breaks the rule, which is why the rule has to be a habit rather than a judgment call: when he is unsure whether something can be said, it cannot, and he can ask afterward rather than decide in the moment. Notes from a call go into the assignment file the same day, and short is fine. Desk, telephone, and files are ready before he arrives. First-week reviews and the thirty-day conversation are with Kelly Chavez.</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David Weiss</dc:title>
  <dc:subject/>
  <dc:creator>Kelly Chavez</dc:creator>
  <cp:keywords/>
  <dc:description>generated by python-docx</dc:description>
  <cp:lastModifiedBy>Kelly Chavez</cp:lastModifiedBy>
  <cp:revision>1</cp:revision>
  <dcterms:created xsi:type="dcterms:W3CDTF">2017-08-01T09:00:00Z</dcterms:created>
  <dcterms:modified xsi:type="dcterms:W3CDTF">2017-08-01T09:00:00Z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