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Habitat Restoration Monitoring</w:t>
      </w:r>
    </w:p>
    <w:p>
      <w:r>
        <w:t>Prepared for Carter and Sons by William Schwartz, Field Technician. Covers the period since the last report. Reviewed by Angela Flynn before issue.</w:t>
      </w:r>
    </w:p>
    <w:p>
      <w:pPr>
        <w:pStyle w:val="Heading2"/>
      </w:pPr>
      <w:r>
        <w:t>Status Summary</w:t>
      </w:r>
    </w:p>
    <w:p>
      <w:r>
        <w:t>The monitoring program is on scope and on schedule at roughly the halfway point. Plots and photo stations are established and being read on the interval. Hydrologic readings are accumulating. The first sediment round is at the laboratory. Invasive mapping is most of the way through. Nothing has happened that changes the deliverable or the approach set out in the engagement letter.</w:t>
      </w:r>
    </w:p>
    <w:p>
      <w:r>
        <w:t>One data issue is open and is described under Risks. It is the kind of thing that gets found in the middle of a program and fixed there, which is why we read the wells more than once.</w:t>
      </w:r>
    </w:p>
    <w:p>
      <w:r>
        <w:t>Nothing in this report is a finding. A monitoring program at this stage has measurements and not conclusions, and the conclusions belong in the report the permit asks for, where each performance standard gets addressed against the data that bear on it. What follows is an account of what has been measured, where, and with what, so that you know what you are paying for while it is happening.</w:t>
      </w:r>
    </w:p>
    <w:p>
      <w:pPr>
        <w:pStyle w:val="Heading2"/>
      </w:pPr>
      <w:r>
        <w:t>Accomplishments This Period</w:t>
      </w:r>
    </w:p>
    <w:p>
      <w:pPr>
        <w:pStyle w:val="ListBullet"/>
      </w:pPr>
      <w:r>
        <w:t>Vegetation plots and permanent photo stations laid out, marked, and coordinated. Two plots were moved off their planned positions onto restoration ground; the planned positions fell on a spoil ridge outside the graded area and would have reported cover the planting never put there. The move and the reason are in the field book and will be in the report.</w:t>
      </w:r>
    </w:p>
    <w:p>
      <w:pPr>
        <w:pStyle w:val="ListBullet"/>
      </w:pPr>
      <w:r>
        <w:t>Photographs taken at every station on the recorded bearing. These are the baseline the next several years of monitoring get compared against, which is why the bearings are written on the tags.</w:t>
      </w:r>
    </w:p>
    <w:p>
      <w:pPr>
        <w:pStyle w:val="ListBullet"/>
      </w:pPr>
      <w:r>
        <w:t>Wells and the staff gauge read on the interval, with the meter calibrated the morning of each reading and the calibration logged before leaving the office.</w:t>
      </w:r>
    </w:p>
    <w:p>
      <w:pPr>
        <w:pStyle w:val="ListBullet"/>
      </w:pPr>
      <w:r>
        <w:t>First sediment round collected at the outfall and the reference location, delivered under unbroken chain of custody, holding times documented on the form. James Henderson ran the custody end to end.</w:t>
      </w:r>
    </w:p>
    <w:p>
      <w:pPr>
        <w:pStyle w:val="ListBullet"/>
      </w:pPr>
      <w:r>
        <w:t>Invasive patch mapping substantially complete in the restoration area; the landward buffer is the remainder.</w:t>
      </w:r>
    </w:p>
    <w:p>
      <w:pPr>
        <w:pStyle w:val="ListBullet"/>
      </w:pPr>
      <w:r>
        <w:t>Two field days moved for tide and weather. Both were rescheduled inside the same week and neither cost the program anything. That is the schedule working as intended, not slipping.</w:t>
      </w:r>
    </w:p>
    <w:p>
      <w:pPr>
        <w:pStyle w:val="Heading2"/>
      </w:pPr>
      <w:r>
        <w:t>Upcoming Work</w:t>
      </w:r>
    </w:p>
    <w:p>
      <w:pPr>
        <w:pStyle w:val="ListBullet"/>
      </w:pPr>
      <w:r>
        <w:t>Second round of vegetation readings: composition, cover by stratum, survival counts of installed stock, two observers per plot, reconciled in the plot.</w:t>
      </w:r>
    </w:p>
    <w:p>
      <w:pPr>
        <w:pStyle w:val="ListBullet"/>
      </w:pPr>
      <w:r>
        <w:t>Continued well and gauge readings on the interval, referenced to the predicted tide for the day.</w:t>
      </w:r>
    </w:p>
    <w:p>
      <w:pPr>
        <w:pStyle w:val="ListBullet"/>
      </w:pPr>
      <w:r>
        <w:t>Laboratory results received, logged against the custody forms, and checked for holding times before any of it is tabulated. James Henderson does not tabulate a number he cannot account for.</w:t>
      </w:r>
    </w:p>
    <w:p>
      <w:pPr>
        <w:pStyle w:val="ListBullet"/>
      </w:pPr>
      <w:r>
        <w:t>Invasive mapping completed in the landward buffer and extent tabulated by patch.</w:t>
      </w:r>
    </w:p>
    <w:p>
      <w:pPr>
        <w:pStyle w:val="ListBullet"/>
      </w:pPr>
      <w:r>
        <w:t>Report drafting: method section written from the field books, then the data, then each performance standard addressed on its own terms. James Henderson drafts; Angela Flynn reviews before anything leaves this office.</w:t>
      </w:r>
    </w:p>
    <w:p>
      <w:pPr>
        <w:pStyle w:val="Heading2"/>
      </w:pPr>
      <w:r>
        <w:t>Budget</w:t>
      </w:r>
    </w:p>
    <w:p>
      <w:r>
        <w:t>The fixed fee of $118,500 is unchanged. Nothing in this period required work outside the scope of the engagement letter, so nothing in this period has been charged outside that fee. Laboratory analysis, boat time, and mileage remain inside it. If something arises that falls outside the scope, you will get it in writing from Angela Flynn before it is started, not on an invoice afterward.</w:t>
      </w:r>
    </w:p>
    <w:p>
      <w:pPr>
        <w:pStyle w:val="Heading2"/>
      </w:pPr>
      <w:r>
        <w:t>Risks</w:t>
      </w:r>
    </w:p>
    <w:p>
      <w:r>
        <w:t>One well is reading tighter than its neighbors across a tide that should have moved it. The likely cause is the instrument, not the marsh. It gets re-read with a second tape on the next field day. If the readings do not reconcile, that well is out of the data set for the affected interval and the report says which interval and why. This is the honest handling of it; a reading we cannot account for does not go into a table on the theory that it is probably fine.</w:t>
      </w:r>
    </w:p>
    <w:p>
      <w:r>
        <w:t>Invasive extent in the landward buffer is larger than the planting plan anticipated. Whether it bears on the performance standards is a question for the second round of vegetation data. It is noted here so that nobody at Carter and Sons reads it for the first time in the report.</w:t>
      </w:r>
    </w:p>
    <w:p>
      <w:r>
        <w:t>Weather and tide remain the schedule risk they were at the start. The monitoring window is what it is, and a bad stretch would compress the field days rather than extend the window. We build the schedule with room for that, and so far the room has been enough.</w:t>
      </w:r>
    </w:p>
    <w:p>
      <w:r>
        <w:t>No laboratory results are reported here, in summary or otherwise, because none are in hand. When they are, they go in the report.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Habitat Restoration Monitoring for Carter and Sons</dc:title>
  <dc:subject/>
  <dc:creator>William Schwartz</dc:creator>
  <cp:keywords/>
  <dc:description>generated by python-docx</dc:description>
  <cp:lastModifiedBy>William Schwartz</cp:lastModifiedBy>
  <cp:revision>1</cp:revision>
  <dcterms:created xsi:type="dcterms:W3CDTF">2019-03-19T09:00:00Z</dcterms:created>
  <dcterms:modified xsi:type="dcterms:W3CDTF">2019-03-19T09:00:00Z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