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Meeting Minutes: Habitat Restoration Monitoring</w:t>
      </w:r>
    </w:p>
    <w:p>
      <w:r>
        <w:t>Working session, office and telephone. Minutes taken by James Henderson, Environmental Scientist. Subject: monitoring program for Carter and Sons. These minutes are the record; corrections to me in writing within five business days.</w:t>
      </w:r>
    </w:p>
    <w:p>
      <w:pPr>
        <w:pStyle w:val="Heading2"/>
      </w:pPr>
      <w:r>
        <w:t>Attendees</w:t>
      </w:r>
    </w:p>
    <w:p>
      <w:pPr>
        <w:pStyle w:val="ListBullet"/>
      </w:pPr>
      <w:r>
        <w:t>James Henderson, Environmental Scientist, Saltmarsh Environmental Partners LLC (minutes)</w:t>
      </w:r>
    </w:p>
    <w:p>
      <w:pPr>
        <w:pStyle w:val="ListBullet"/>
      </w:pPr>
      <w:r>
        <w:t>William Schwartz, Field Technician, Saltmarsh Environmental Partners LLC</w:t>
      </w:r>
    </w:p>
    <w:p>
      <w:pPr>
        <w:pStyle w:val="ListBullet"/>
      </w:pPr>
      <w:r>
        <w:t>Heather Smith, Chief Financial Officer, Carter and Sons (by telephone)</w:t>
      </w:r>
    </w:p>
    <w:p>
      <w:pPr>
        <w:pStyle w:val="Heading2"/>
      </w:pPr>
      <w:r>
        <w:t>Discussion</w:t>
      </w:r>
    </w:p>
    <w:p>
      <w:r>
        <w:t>Plot and photo station layout is complete and the coordinate list is in the project folder. William Schwartz reported two vegetation plots relocated from their planned positions: the planned positions fell on a spoil ridge that is not part of the restoration grading and would have reported cover the planting never established. The relocation is documented in the field book with the reason, and it will be stated in the report rather than left for a reviewer to discover by comparing coordinates against the plan.</w:t>
      </w:r>
    </w:p>
    <w:p>
      <w:r>
        <w:t>First round of well and gauge readings is in hand. Calibration records accompany each reading. Two readings from one well came back tighter than the surrounding wells across a tide that should have moved them. I am treating that as a suspect instrument rather than a suspect marsh until it is checked. William Schwartz will re-read the well with a second tape and, if the readings do not reconcile, the well is pulled from the data set for that interval and the report says so. I would rather flag it and explain it than let it into a table unremarked.</w:t>
      </w:r>
    </w:p>
    <w:p>
      <w:r>
        <w:t>Sediment sampling: the first round is collected and delivered, holding times documented on the form, custody unbroken. Laboratory turnaround was confirmed before collection. No results are in hand yet and none will be discussed with the client until they are, including in summary and including verbally.</w:t>
      </w:r>
    </w:p>
    <w:p>
      <w:r>
        <w:t>Invasive mapping is partially complete. Buffer patches on the landward side are larger than the planting plan anticipated. That is an observation about extent, not yet a finding about the restoration; whether it bears on the performance standards is a question the second round of vegetation data will answer, and it will be addressed then, in the report, and not before.</w:t>
      </w:r>
    </w:p>
    <w:p>
      <w:r>
        <w:t>Heather Smith asked whether an interim letter could be sent to the agency ahead of the report. Position taken: no. An interim letter on partial data invites the agency to hold us to a number we have not finished measuring. The monitoring report is the deliverable named in the permit conditions, and it goes when it is complete and reviewed. Heather Smith accepted this and asked that the report note the mapping observation explicitly so that Carter and Sons is not surprised by it. Agreed.</w:t>
      </w:r>
    </w:p>
    <w:p>
      <w:r>
        <w:t>Heather Smith also asked about invoicing against the schedule discussed. Referred to Angela Flynn; not a field or laboratory question and not answered in this meeting.</w:t>
      </w:r>
    </w:p>
    <w:p>
      <w:pPr>
        <w:pStyle w:val="Heading2"/>
      </w:pPr>
      <w:r>
        <w:t>Action Items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No.</w:t>
            </w:r>
          </w:p>
        </w:tc>
        <w:tc>
          <w:tcPr>
            <w:tcW w:type="dxa" w:w="2160"/>
          </w:tcPr>
          <w:p>
            <w:r>
              <w:rPr>
                <w:b/>
              </w:rPr>
              <w:t>Action</w:t>
            </w:r>
          </w:p>
        </w:tc>
        <w:tc>
          <w:tcPr>
            <w:tcW w:type="dxa" w:w="2160"/>
          </w:tcPr>
          <w:p>
            <w:r>
              <w:rPr>
                <w:b/>
              </w:rPr>
              <w:t>Owner</w:t>
            </w:r>
          </w:p>
        </w:tc>
        <w:tc>
          <w:tcPr>
            <w:tcW w:type="dxa" w:w="2160"/>
          </w:tcPr>
          <w:p>
            <w:r>
              <w:rPr>
                <w:b/>
              </w:rPr>
              <w:t>Timing</w:t>
            </w:r>
          </w:p>
        </w:tc>
      </w:tr>
      <w:tr>
        <w:tc>
          <w:tcPr>
            <w:tcW w:type="dxa" w:w="2160"/>
          </w:tcPr>
          <w:p>
            <w:r>
              <w:t>1</w:t>
            </w:r>
          </w:p>
        </w:tc>
        <w:tc>
          <w:tcPr>
            <w:tcW w:type="dxa" w:w="2160"/>
          </w:tcPr>
          <w:p>
            <w:r>
              <w:t>Re-read the suspect well with a second tape; reconcile or pull the interval from the data set and document the reason in the field book.</w:t>
            </w:r>
          </w:p>
        </w:tc>
        <w:tc>
          <w:tcPr>
            <w:tcW w:type="dxa" w:w="2160"/>
          </w:tcPr>
          <w:p>
            <w:r>
              <w:t>William Schwartz</w:t>
            </w:r>
          </w:p>
        </w:tc>
        <w:tc>
          <w:tcPr>
            <w:tcW w:type="dxa" w:w="2160"/>
          </w:tcPr>
          <w:p>
            <w:r>
              <w:t>Next field day</w:t>
            </w:r>
          </w:p>
        </w:tc>
      </w:tr>
      <w:tr>
        <w:tc>
          <w:tcPr>
            <w:tcW w:type="dxa" w:w="2160"/>
          </w:tcPr>
          <w:p>
            <w:r>
              <w:t>2</w:t>
            </w:r>
          </w:p>
        </w:tc>
        <w:tc>
          <w:tcPr>
            <w:tcW w:type="dxa" w:w="2160"/>
          </w:tcPr>
          <w:p>
            <w:r>
              <w:t>Circulate the revised plot coordinate list with the relocation and its justification noted.</w:t>
            </w:r>
          </w:p>
        </w:tc>
        <w:tc>
          <w:tcPr>
            <w:tcW w:type="dxa" w:w="2160"/>
          </w:tcPr>
          <w:p>
            <w:r>
              <w:t>William Schwartz</w:t>
            </w:r>
          </w:p>
        </w:tc>
        <w:tc>
          <w:tcPr>
            <w:tcW w:type="dxa" w:w="2160"/>
          </w:tcPr>
          <w:p>
            <w:r>
              <w:t>This week</w:t>
            </w:r>
          </w:p>
        </w:tc>
      </w:tr>
      <w:tr>
        <w:tc>
          <w:tcPr>
            <w:tcW w:type="dxa" w:w="2160"/>
          </w:tcPr>
          <w:p>
            <w:r>
              <w:t>3</w:t>
            </w:r>
          </w:p>
        </w:tc>
        <w:tc>
          <w:tcPr>
            <w:tcW w:type="dxa" w:w="2160"/>
          </w:tcPr>
          <w:p>
            <w:r>
              <w:t>Log laboratory results against the chain-of-custody forms on receipt; verify holding times before any result is tabulated.</w:t>
            </w:r>
          </w:p>
        </w:tc>
        <w:tc>
          <w:tcPr>
            <w:tcW w:type="dxa" w:w="2160"/>
          </w:tcPr>
          <w:p>
            <w:r>
              <w:t>James Henderson</w:t>
            </w:r>
          </w:p>
        </w:tc>
        <w:tc>
          <w:tcPr>
            <w:tcW w:type="dxa" w:w="2160"/>
          </w:tcPr>
          <w:p>
            <w:r>
              <w:t>On receipt</w:t>
            </w:r>
          </w:p>
        </w:tc>
      </w:tr>
      <w:tr>
        <w:tc>
          <w:tcPr>
            <w:tcW w:type="dxa" w:w="2160"/>
          </w:tcPr>
          <w:p>
            <w:r>
              <w:t>4</w:t>
            </w:r>
          </w:p>
        </w:tc>
        <w:tc>
          <w:tcPr>
            <w:tcW w:type="dxa" w:w="2160"/>
          </w:tcPr>
          <w:p>
            <w:r>
              <w:t>Complete invasive patch mapping in the landward buffer and tabulate extent by patch.</w:t>
            </w:r>
          </w:p>
        </w:tc>
        <w:tc>
          <w:tcPr>
            <w:tcW w:type="dxa" w:w="2160"/>
          </w:tcPr>
          <w:p>
            <w:r>
              <w:t>James Henderson</w:t>
            </w:r>
          </w:p>
        </w:tc>
        <w:tc>
          <w:tcPr>
            <w:tcW w:type="dxa" w:w="2160"/>
          </w:tcPr>
          <w:p>
            <w:r>
              <w:t>Next field day</w:t>
            </w:r>
          </w:p>
        </w:tc>
      </w:tr>
      <w:tr>
        <w:tc>
          <w:tcPr>
            <w:tcW w:type="dxa" w:w="2160"/>
          </w:tcPr>
          <w:p>
            <w:r>
              <w:t>5</w:t>
            </w:r>
          </w:p>
        </w:tc>
        <w:tc>
          <w:tcPr>
            <w:tcW w:type="dxa" w:w="2160"/>
          </w:tcPr>
          <w:p>
            <w:r>
              <w:t>Draft the report method section against the field books to date, so the methods are written from the record and not from memory.</w:t>
            </w:r>
          </w:p>
        </w:tc>
        <w:tc>
          <w:tcPr>
            <w:tcW w:type="dxa" w:w="2160"/>
          </w:tcPr>
          <w:p>
            <w:r>
              <w:t>James Henderson</w:t>
            </w:r>
          </w:p>
        </w:tc>
        <w:tc>
          <w:tcPr>
            <w:tcW w:type="dxa" w:w="2160"/>
          </w:tcPr>
          <w:p>
            <w:r>
              <w:t>Before the next round of data</w:t>
            </w:r>
          </w:p>
        </w:tc>
      </w:tr>
      <w:tr>
        <w:tc>
          <w:tcPr>
            <w:tcW w:type="dxa" w:w="2160"/>
          </w:tcPr>
          <w:p>
            <w:r>
              <w:t>6</w:t>
            </w:r>
          </w:p>
        </w:tc>
        <w:tc>
          <w:tcPr>
            <w:tcW w:type="dxa" w:w="2160"/>
          </w:tcPr>
          <w:p>
            <w:r>
              <w:t>Refer the client's invoicing question to Angela Flynn.</w:t>
            </w:r>
          </w:p>
        </w:tc>
        <w:tc>
          <w:tcPr>
            <w:tcW w:type="dxa" w:w="2160"/>
          </w:tcPr>
          <w:p>
            <w:r>
              <w:t>James Henderson</w:t>
            </w:r>
          </w:p>
        </w:tc>
        <w:tc>
          <w:tcPr>
            <w:tcW w:type="dxa" w:w="2160"/>
          </w:tcPr>
          <w:p>
            <w:r>
              <w:t>Same day</w:t>
            </w:r>
          </w:p>
        </w:tc>
      </w:tr>
    </w:tbl>
    <w:p>
      <w:r>
        <w:t>No commercial terms were discussed or agreed in this meeting.</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3B3060"/>
        <w:sz w:val="28"/>
      </w:rPr>
      <w:t>Saltmarsh Environmental Partners LLC</w:t>
    </w:r>
  </w:p>
  <w:p>
    <w:r>
      <w:rPr>
        <w:sz w:val="18"/>
      </w:rPr>
      <w:t>www.saltmarshenv.com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Saltmarsh Environmental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Habitat Restoration Monitoring for Carter and Sons</dc:title>
  <dc:subject/>
  <dc:creator>James Henderson</dc:creator>
  <cp:keywords/>
  <dc:description>generated by python-docx</dc:description>
  <cp:lastModifiedBy>James Henderson</cp:lastModifiedBy>
  <cp:revision>1</cp:revision>
  <dcterms:created xsi:type="dcterms:W3CDTF">2019-03-09T09:00:00Z</dcterms:created>
  <dcterms:modified xsi:type="dcterms:W3CDTF">2019-03-09T09:00:00Z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