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Memo: Wetland Delineation, Dyer and Sons</w:t>
      </w:r>
    </w:p>
    <w:p>
      <w:r>
        <w:t>To: John Sanchez, Mary Foster, Pamela Brown, Tammy Parks</w:t>
        <w:br/>
        <w:t>From: Angela Williams</w:t>
        <w:br/>
        <w:t>Re: Kickoff, wetland delineation for Dyer and Sons</w:t>
      </w:r>
    </w:p>
    <w:p>
      <w:r>
        <w:t>The countersigned scope is back and scanned. The engagement commenced May 25, 2015, and the objective is a defensible wetland boundary on the parcel, delineated under the 1987 manual and the regional supplement, documented so that a reviewer opening the file several years from now can tell what was measured, where, on what date, and by whom. John Sanchez leads the delineation and owns the line. This memo records the assignments as they stand at kickoff so that nobody has to reconstruct them from memory in the fall. Nothing here is field-tested yet; it is the plan, not the record.</w:t>
      </w:r>
    </w:p>
    <w:p>
      <w:pPr>
        <w:pStyle w:val="Heading2"/>
      </w:pPr>
      <w:r>
        <w:t>Workstreams</w:t>
      </w:r>
    </w:p>
    <w:p>
      <w:pPr>
        <w:pStyle w:val="ListBullet"/>
      </w:pPr>
      <w:r>
        <w:t>Records and background. Pamela Brown pulls the historical aerials, the NWI mapping, the county soil survey, and any prior permit or violation record for the parcel. Deliverable is a short background section with sources named and gaps stated as gaps. If the record does not support a conclusion, we say the record does not support a conclusion.</w:t>
      </w:r>
    </w:p>
    <w:p>
      <w:pPr>
        <w:pStyle w:val="ListBullet"/>
      </w:pPr>
      <w:r>
        <w:t>Field delineation. John Sanchez establishes the sample point pairs, describes the soil profiles, and flags the boundary. The line gets walked twice. Where an indicator is ambiguous it is recorded as ambiguous and photographed, not averaged.</w:t>
      </w:r>
    </w:p>
    <w:p>
      <w:pPr>
        <w:pStyle w:val="ListBullet"/>
      </w:pPr>
      <w:r>
        <w:t>Field record and photo log. Mary Foster keeps the notebook: date, personnel, weather, tide stage, antecedent precipitation, equipment used, and anything that went sideways. Deviations get flagged in the notebook the day they happen, not reconstructed later.</w:t>
      </w:r>
    </w:p>
    <w:p>
      <w:pPr>
        <w:pStyle w:val="ListBullet"/>
      </w:pPr>
      <w:r>
        <w:t>Report and figures. I draft the report and the figure set from the data forms, the GPS positions, and the notebook, and route it to the Managing Principal for review before anything goes to the client. Totals get checked against the forms, not against the last draft.</w:t>
      </w:r>
    </w:p>
    <w:p>
      <w:pPr>
        <w:pStyle w:val="ListBullet"/>
      </w:pPr>
      <w:r>
        <w:t>Contract and submittal administration. Tammy Parks tracks the countersigned scope, the access authorization from Sandra Little's office at Dyer and Sons, insurance certificates if requested, and the submittal calendar.</w:t>
      </w:r>
    </w:p>
    <w:p>
      <w:pPr>
        <w:pStyle w:val="Heading2"/>
      </w:pPr>
      <w:r>
        <w:t>Next Steps</w:t>
      </w:r>
    </w:p>
    <w:p>
      <w:pPr>
        <w:pStyle w:val="ListBullet"/>
      </w:pPr>
      <w:r>
        <w:t>Access. Tammy Parks confirms the gate arrangement and tenant notification with Sandra Little before anyone drives out. No one enters the parcel until that is in writing.</w:t>
      </w:r>
    </w:p>
    <w:p>
      <w:pPr>
        <w:pStyle w:val="ListBullet"/>
      </w:pPr>
      <w:r>
        <w:t>Reconnaissance. John Sanchez and Mary Foster walk the parcel once with no equipment other than the notebook and a camera, to see the ground before the sample design is fixed.</w:t>
      </w:r>
    </w:p>
    <w:p>
      <w:pPr>
        <w:pStyle w:val="ListBullet"/>
      </w:pPr>
      <w:r>
        <w:t>Sample design. Point pairs proposed by John Sanchez after reconnaissance, on the aerial, before the first full field day.</w:t>
      </w:r>
    </w:p>
    <w:p>
      <w:pPr>
        <w:pStyle w:val="ListBullet"/>
      </w:pPr>
      <w:r>
        <w:t>Equipment. GPS unit checked and differential correction confirmed, Munsell book, spare routine data forms, flagging, tide table for the reach. Mary Foster owns the kit check.</w:t>
      </w:r>
    </w:p>
    <w:p>
      <w:pPr>
        <w:pStyle w:val="ListBullet"/>
      </w:pPr>
      <w:r>
        <w:t>Background request. Pamela Brown submits the records requests this week; turnaround on the older files is slow and the requests should not wait on the field schedule.</w:t>
      </w:r>
    </w:p>
    <w:p>
      <w:r>
        <w:t>Two standing reminders, neither of them new. Field days are logged as they happen. A notebook written up in the truck at the end of the week is a reconstruction, and it should be labeled as one if it comes to that. Second, nothing leaves this office without review, including a figure, a table, or a number quoted to the client on the phone. If Sandra Little asks any of us for an interim line, the answer is that the line is not final until the report is issued.</w:t>
      </w:r>
    </w:p>
    <w:p>
      <w:r>
        <w:t>If an assignment above does not match what you understood, say so now rather than in July. Corrections to this memo are cheaper than corrections to the report.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Wetland Delineation for Dyer and Sons</dc:title>
  <dc:subject/>
  <dc:creator>Angela Williams</dc:creator>
  <cp:keywords/>
  <dc:description>generated by python-docx</dc:description>
  <cp:lastModifiedBy>Angela Williams</cp:lastModifiedBy>
  <cp:revision>1</cp:revision>
  <dcterms:created xsi:type="dcterms:W3CDTF">2015-05-28T09:00:00Z</dcterms:created>
  <dcterms:modified xsi:type="dcterms:W3CDTF">2015-05-28T09:00:00Z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