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Progress Report</w:t>
      </w:r>
    </w:p>
    <w:p>
      <w:r>
        <w:t>Re: Phase I Environmental Site Assessment for Dyer and Sons. Prepared by Mary Foster, Field Technician, and reviewed before issue.</w:t>
      </w:r>
    </w:p>
    <w:p>
      <w:pPr>
        <w:pStyle w:val="Heading2"/>
      </w:pPr>
      <w:r>
        <w:t>Status Summary</w:t>
      </w:r>
    </w:p>
    <w:p>
      <w:r>
        <w:t>The assessment is at roughly the halfway mark of a four-month engagement and is on schedule. The historical records review is complete. The regulatory database review is complete except for one item awaiting a vendor correction. Both site reconnaissance visits have been made. The interviews are underway. Nothing has been drafted for report yet; that begins once the interview record is closed. One open question, the origin and date of fill at the northern margin of the parcel, is the item most likely to shape what the report can and cannot conclude, and it is discussed under Risks below.</w:t>
      </w:r>
    </w:p>
    <w:p>
      <w:pPr>
        <w:pStyle w:val="Heading2"/>
      </w:pPr>
      <w:r>
        <w:t>Accomplishments This Period</w:t>
      </w:r>
    </w:p>
    <w:p>
      <w:r>
        <w:t>The historical sources are reviewed and filed: the aerial series, the topographic sheets, the fire insurance coverage such as it is for this part of the shore, and the county permit and grading files. John Sanchez searched the county file twice, the second time under the prior owner name and the parcel's earlier designation, which turned up two grading records that the first search did not. Neither addresses the shoreline work.</w:t>
      </w:r>
    </w:p>
    <w:p>
      <w:r>
        <w:t>Both reconnaissance visits are done. Each was made on a falling tide and the water edge was walked in full on both. The field record for each visit carries the date, weather, tide state, personnel present, and a photo log with location and direction for every frame. Observed at the northern margin: fill material exposed in a low bank, photographed on both visits, with the exposure visible only from the water side and only at lower stages of the tide. Not observed anywhere on the property, on either visit: staining, drums, aboveground or apparent underground storage tanks, distressed vegetation, or evidence of dumping. I record the second list because in this work what was looked for and not found is as much a part of the record as what was found, and a reader in five years cannot tell the difference between not present and not checked unless we say which it was.</w:t>
      </w:r>
    </w:p>
    <w:p>
      <w:r>
        <w:t>James Henderson has closed out the database review. He confirmed with the vendor that one listing plotting in open water is an error in the source rather than a condition on the ground, and the vendor's written correction is in the file. He also resolved the gradient question raised earlier: the topographic assumption does not hold on a tidal parcel, and his characterization of the nearby listings now rests on what the reconnaissance showed rather than on an inference from contours. Two listings that were provisionally carried as upgradient are not.</w:t>
      </w:r>
    </w:p>
    <w:p>
      <w:r>
        <w:t>The owner interview has been completed. The interview of the adjoining occupant is scheduled and not yet held.</w:t>
      </w:r>
    </w:p>
    <w:p>
      <w:pPr>
        <w:pStyle w:val="Heading2"/>
      </w:pPr>
      <w:r>
        <w:t>Upcoming Work</w:t>
      </w:r>
    </w:p>
    <w:p>
      <w:pPr>
        <w:pStyle w:val="ListBullet"/>
      </w:pPr>
      <w:r>
        <w:t>Complete the adjoining occupant interview and close the interview record.</w:t>
      </w:r>
    </w:p>
    <w:p>
      <w:pPr>
        <w:pStyle w:val="ListBullet"/>
      </w:pPr>
      <w:r>
        <w:t>Reconcile the field notes against the formal interview record, keeping observation and hearsay distinct in both.</w:t>
      </w:r>
    </w:p>
    <w:p>
      <w:pPr>
        <w:pStyle w:val="ListBullet"/>
      </w:pPr>
      <w:r>
        <w:t>Prepare the draft report, including the findings, the data gaps, and our opinion on their significance.</w:t>
      </w:r>
    </w:p>
    <w:p>
      <w:pPr>
        <w:pStyle w:val="ListBullet"/>
      </w:pPr>
      <w:r>
        <w:t>Internal review of the draft by the Managing Principal before it is issued to Dyer and Sons.</w:t>
      </w:r>
    </w:p>
    <w:p>
      <w:pPr>
        <w:pStyle w:val="ListBullet"/>
      </w:pPr>
      <w:r>
        <w:t>Issue the draft for your review and one round of comment, then final.</w:t>
      </w:r>
    </w:p>
    <w:p>
      <w:pPr>
        <w:pStyle w:val="Heading2"/>
      </w:pPr>
      <w:r>
        <w:t>Budget</w:t>
      </w:r>
    </w:p>
    <w:p>
      <w:r>
        <w:t>The engagement is a fixed fee of $34,000, and effort to date is consistent with that figure at this point in the work. The database order and the historical source reproduction are inside the fee, as stated in the engagement letter, and there are no expense items to report. Nothing performed this period was outside the agreed scope, and no additional authorization is being requested. The second county search and the vendor correction were absorbed within the fee.</w:t>
      </w:r>
    </w:p>
    <w:p>
      <w:pPr>
        <w:pStyle w:val="Heading2"/>
      </w:pPr>
      <w:r>
        <w:t>Risks</w:t>
      </w:r>
    </w:p>
    <w:p>
      <w:r>
        <w:t>The fill at the northern margin remains unresolved. The aerial interval that brackets the work is long, the fire insurance coverage does not reach that part of the shore, and no shoreline permit was located in either county search. If the remaining interview does not establish the origin and approximate date of the fill, the report will carry the point as a data gap and state our opinion of its significance rather than resolve it by assertion. John Sanchez has been consistent on this and I will not soften it here: a confident call the record does not support is the one a reviewer takes apart later, and this office would rather write down the limit of what is known.</w:t>
      </w:r>
    </w:p>
    <w:p>
      <w:r>
        <w:t>The schedule risk is access for the remaining interview, which is being arranged through Dyer and Sons. It is not currently causing delay. If the interview cannot be held within the next two weeks, the draft slips by roughly that interval, and you would hear about it from us before it happened rather than in the next report.</w:t>
      </w:r>
    </w:p>
    <w:p>
      <w:r>
        <w:t>No other risks are identified at this time. Questions on any of the above can go to John Sanchez or to me.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Phase I Site Assessment for Dyer and Sons</dc:title>
  <dc:subject/>
  <dc:creator>Mary Foster</dc:creator>
  <cp:keywords/>
  <dc:description>generated by python-docx</dc:description>
  <cp:lastModifiedBy>Mary Foster</cp:lastModifiedBy>
  <cp:revision>1</cp:revision>
  <dcterms:created xsi:type="dcterms:W3CDTF">2016-07-06T09:00:00Z</dcterms:created>
  <dcterms:modified xsi:type="dcterms:W3CDTF">2016-07-06T09:00:00Z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