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Minutes: Working Session, Wetland Delineation, Dyer and Sons</w:t>
      </w:r>
    </w:p>
    <w:p>
      <w:pPr>
        <w:pStyle w:val="Heading2"/>
      </w:pPr>
      <w:r>
        <w:t>Attendees</w:t>
      </w:r>
    </w:p>
    <w:p>
      <w:pPr>
        <w:pStyle w:val="ListBullet"/>
      </w:pPr>
      <w:r>
        <w:t>John Sanchez, Senior Scientist, Saltmarsh Environmental Partners LLC (recorder)</w:t>
      </w:r>
    </w:p>
    <w:p>
      <w:pPr>
        <w:pStyle w:val="ListBullet"/>
      </w:pPr>
      <w:r>
        <w:t>Angela Williams, Field Technician, Saltmarsh Environmental Partners LLC</w:t>
      </w:r>
    </w:p>
    <w:p>
      <w:pPr>
        <w:pStyle w:val="ListBullet"/>
      </w:pPr>
      <w:r>
        <w:t>Mary Foster, Field Technician, Saltmarsh Environmental Partners LLC</w:t>
      </w:r>
    </w:p>
    <w:p>
      <w:pPr>
        <w:pStyle w:val="ListBullet"/>
      </w:pPr>
      <w:r>
        <w:t>Sandra Little, Director of Operations, Dyer and Sons</w:t>
      </w:r>
    </w:p>
    <w:p>
      <w:pPr>
        <w:pStyle w:val="Heading2"/>
      </w:pPr>
      <w:r>
        <w:t>Discussion</w:t>
      </w:r>
    </w:p>
    <w:p>
      <w:r>
        <w:t>The session was convened to review the reviewed draft of the delineation report with Dyer and Sons before the report is issued. The field effort is complete. The boundary has been flagged in full and re-walked, the sample point pairs have been described, the flag positions have been surveyed, and the figure set has been prepared from the survey. The draft has been through internal review and the comments have been incorporated. What remains is the client review recorded in these minutes and the issuance that follows it.</w:t>
      </w:r>
    </w:p>
    <w:p>
      <w:r>
        <w:t>The ditch corridor was reviewed first, as it was the reach that carried the disagreement. The additional sample point pairs established in that reach were described and the profiles are documented. Redoximorphic concentrations were observed at the required depth in three of the six pits described in the corridor and were not observed in the remainder. The hydrology indicators were observed consistently. On that evidence the corridor is delineated as wetland, and the report states the basis and states the limitation: the determination rests on hydrology and vegetation, with soils marginal, and it was made in a season wetter than normal. The report says that a drier season could produce a different soils result in that reach, and does not claim otherwise.</w:t>
      </w:r>
    </w:p>
    <w:p>
      <w:r>
        <w:t>Sandra Little asked whether the qualifying language in the corridor section could be shortened, on the view that it invites a question a reviewer might not otherwise ask. It was explained that the qualifier is the honest description of the evidence, that an agency reviewer will reach the marginal soils through the data forms regardless of what the narrative says, and that a report which is silent on a known weakness is worth less to the client when it is challenged than one which addresses it. The language stands. Sandra Little accepted this and asked that the basis be stated in the first paragraph of the section rather than in the last, which was agreed and is an improvement.</w:t>
      </w:r>
    </w:p>
    <w:p>
      <w:r>
        <w:t>The site files bearing on the fill were received from Dyer and Sons and were reviewed against the aerials. The files establish the approximate period of placement but not the authority under which it was placed. The report describes what the files show and states plainly that the record does not establish the authority. Sandra Little was advised that the agencies will likely ask the same question and that Dyer and Sons should expect it.</w:t>
      </w:r>
    </w:p>
    <w:p>
      <w:r>
        <w:t>The tide stage discrepancy on the eastern margin was reviewed. It was documented across five visits and has been traced to the timing of the gauge readings rather than to the reach or to the instrument. Mary Foster's field record was sufficient to establish this after the fact, which is the reason the record is kept as it is. The eastern margin flags were unaffected. The report notes the discrepancy and its resolution in the methods section; the observations themselves required no qualification.</w:t>
      </w:r>
    </w:p>
    <w:p>
      <w:r>
        <w:t>Angela Williams reviewed the figure set with Sandra Little page by page. Two labels were corrected and one photograph station was found to be plotted from a superseded position; the position has been checked against the survey and will be corrected before issuance. No other changes to the figures were requested. Schedule to issuance was confirmed as workable within the engagement term.</w:t>
      </w:r>
    </w:p>
    <w:p>
      <w:pPr>
        <w:pStyle w:val="Heading2"/>
      </w:pPr>
      <w:r>
        <w:t>Action Items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Action</w:t>
            </w:r>
          </w:p>
        </w:tc>
        <w:tc>
          <w:tcPr>
            <w:tcW w:type="dxa" w:w="2880"/>
          </w:tcPr>
          <w:p>
            <w:r>
              <w:rPr>
                <w:b/>
              </w:rPr>
              <w:t>Owner</w:t>
            </w:r>
          </w:p>
        </w:tc>
        <w:tc>
          <w:tcPr>
            <w:tcW w:type="dxa" w:w="2880"/>
          </w:tcPr>
          <w:p>
            <w:r>
              <w:rPr>
                <w:b/>
              </w:rPr>
              <w:t>Status</w:t>
            </w:r>
          </w:p>
        </w:tc>
      </w:tr>
      <w:tr>
        <w:tc>
          <w:tcPr>
            <w:tcW w:type="dxa" w:w="2880"/>
          </w:tcPr>
          <w:p>
            <w:r>
              <w:t>Move the statement of basis to the opening of the ditch corridor section as agreed</w:t>
            </w:r>
          </w:p>
        </w:tc>
        <w:tc>
          <w:tcPr>
            <w:tcW w:type="dxa" w:w="2880"/>
          </w:tcPr>
          <w:p>
            <w:r>
              <w:t>John Sanchez</w:t>
            </w:r>
          </w:p>
        </w:tc>
        <w:tc>
          <w:tcPr>
            <w:tcW w:type="dxa" w:w="2880"/>
          </w:tcPr>
          <w:p>
            <w:r>
              <w:t>Open</w:t>
            </w:r>
          </w:p>
        </w:tc>
      </w:tr>
      <w:tr>
        <w:tc>
          <w:tcPr>
            <w:tcW w:type="dxa" w:w="2880"/>
          </w:tcPr>
          <w:p>
            <w:r>
              <w:t>Correct the two figure labels and re-plot the photograph station from the surveyed position</w:t>
            </w:r>
          </w:p>
        </w:tc>
        <w:tc>
          <w:tcPr>
            <w:tcW w:type="dxa" w:w="2880"/>
          </w:tcPr>
          <w:p>
            <w:r>
              <w:t>Angela Williams</w:t>
            </w:r>
          </w:p>
        </w:tc>
        <w:tc>
          <w:tcPr>
            <w:tcW w:type="dxa" w:w="2880"/>
          </w:tcPr>
          <w:p>
            <w:r>
              <w:t>Open</w:t>
            </w:r>
          </w:p>
        </w:tc>
      </w:tr>
      <w:tr>
        <w:tc>
          <w:tcPr>
            <w:tcW w:type="dxa" w:w="2880"/>
          </w:tcPr>
          <w:p>
            <w:r>
              <w:t>Verify the corrected station against the field record before the figure set is finalized</w:t>
            </w:r>
          </w:p>
        </w:tc>
        <w:tc>
          <w:tcPr>
            <w:tcW w:type="dxa" w:w="2880"/>
          </w:tcPr>
          <w:p>
            <w:r>
              <w:t>Mary Foster</w:t>
            </w:r>
          </w:p>
        </w:tc>
        <w:tc>
          <w:tcPr>
            <w:tcW w:type="dxa" w:w="2880"/>
          </w:tcPr>
          <w:p>
            <w:r>
              <w:t>Open</w:t>
            </w:r>
          </w:p>
        </w:tc>
      </w:tr>
      <w:tr>
        <w:tc>
          <w:tcPr>
            <w:tcW w:type="dxa" w:w="2880"/>
          </w:tcPr>
          <w:p>
            <w:r>
              <w:t>Incorporate the received site files into the background section; state the authority gap explicitly</w:t>
            </w:r>
          </w:p>
        </w:tc>
        <w:tc>
          <w:tcPr>
            <w:tcW w:type="dxa" w:w="2880"/>
          </w:tcPr>
          <w:p>
            <w:r>
              <w:t>John Sanchez</w:t>
            </w:r>
          </w:p>
        </w:tc>
        <w:tc>
          <w:tcPr>
            <w:tcW w:type="dxa" w:w="2880"/>
          </w:tcPr>
          <w:p>
            <w:r>
              <w:t>In progress</w:t>
            </w:r>
          </w:p>
        </w:tc>
      </w:tr>
      <w:tr>
        <w:tc>
          <w:tcPr>
            <w:tcW w:type="dxa" w:w="2880"/>
          </w:tcPr>
          <w:p>
            <w:r>
              <w:t>Route the corrected draft to the Managing Principal for final review before issuance</w:t>
            </w:r>
          </w:p>
        </w:tc>
        <w:tc>
          <w:tcPr>
            <w:tcW w:type="dxa" w:w="2880"/>
          </w:tcPr>
          <w:p>
            <w:r>
              <w:t>Angela Williams</w:t>
            </w:r>
          </w:p>
        </w:tc>
        <w:tc>
          <w:tcPr>
            <w:tcW w:type="dxa" w:w="2880"/>
          </w:tcPr>
          <w:p>
            <w:r>
              <w:t>Open</w:t>
            </w:r>
          </w:p>
        </w:tc>
      </w:tr>
      <w:tr>
        <w:tc>
          <w:tcPr>
            <w:tcW w:type="dxa" w:w="2880"/>
          </w:tcPr>
          <w:p>
            <w:r>
              <w:t>Confirm the distribution list and copy count for issuance</w:t>
            </w:r>
          </w:p>
        </w:tc>
        <w:tc>
          <w:tcPr>
            <w:tcW w:type="dxa" w:w="2880"/>
          </w:tcPr>
          <w:p>
            <w:r>
              <w:t>Sandra Little</w:t>
            </w:r>
          </w:p>
        </w:tc>
        <w:tc>
          <w:tcPr>
            <w:tcW w:type="dxa" w:w="2880"/>
          </w:tcPr>
          <w:p>
            <w:r>
              <w:t>Open, with Dyer and Sons</w:t>
            </w:r>
          </w:p>
        </w:tc>
      </w:tr>
    </w:tbl>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3B3060"/>
        <w:sz w:val="28"/>
      </w:rPr>
      <w:t>Saltmarsh Environmental Partners LLC</w:t>
    </w:r>
  </w:p>
  <w:p>
    <w:r>
      <w:rPr>
        <w:sz w:val="18"/>
      </w:rPr>
      <w:t>www.saltmarshenv.com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Saltmarsh Environmental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Minutes: Wetland Delineation for Dyer and Sons</dc:title>
  <dc:subject/>
  <dc:creator>John Sanchez</dc:creator>
  <cp:keywords/>
  <dc:description>generated by python-docx</dc:description>
  <cp:lastModifiedBy>John Sanchez</cp:lastModifiedBy>
  <cp:revision>1</cp:revision>
  <dcterms:created xsi:type="dcterms:W3CDTF">2015-11-05T09:00:00Z</dcterms:created>
  <dcterms:modified xsi:type="dcterms:W3CDTF">2015-11-05T09:00:00Z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