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Minutes of Working Session</w:t>
      </w:r>
    </w:p>
    <w:p>
      <w:r>
        <w:t>Re: Phase I Environmental Site Assessment for Dyer and Sons. Minutes recorded by John Sanchez and circulated for correction.</w:t>
      </w:r>
    </w:p>
    <w:p>
      <w:pPr>
        <w:pStyle w:val="Heading2"/>
      </w:pPr>
      <w:r>
        <w:t>Attendees</w:t>
      </w:r>
    </w:p>
    <w:p>
      <w:pPr>
        <w:pStyle w:val="ListBullet"/>
      </w:pPr>
      <w:r>
        <w:t>John Sanchez, Senior Scientist, Saltmarsh Environmental Partners (chair)</w:t>
      </w:r>
    </w:p>
    <w:p>
      <w:pPr>
        <w:pStyle w:val="ListBullet"/>
      </w:pPr>
      <w:r>
        <w:t>Mary Foster, Field Technician, Saltmarsh Environmental Partners</w:t>
      </w:r>
    </w:p>
    <w:p>
      <w:pPr>
        <w:pStyle w:val="ListBullet"/>
      </w:pPr>
      <w:r>
        <w:t>James Henderson, Environmental Scientist, Saltmarsh Environmental Partners</w:t>
      </w:r>
    </w:p>
    <w:p>
      <w:pPr>
        <w:pStyle w:val="ListBullet"/>
      </w:pPr>
      <w:r>
        <w:t>Michelle Roberts, Chief Financial Officer, Dyer and Sons (by telephone)</w:t>
      </w:r>
    </w:p>
    <w:p>
      <w:pPr>
        <w:pStyle w:val="Heading2"/>
      </w:pPr>
      <w:r>
        <w:t>Discussion</w:t>
      </w:r>
    </w:p>
    <w:p>
      <w:r>
        <w:t>The historical sources are in hand and were reviewed at the table. The aerial series shows a change in the shoreline configuration between two of the earlier flights, consistent with placed fill along the northern margin of the parcel. It was noted that the interval between those two flights is long enough that the date of the work cannot be fixed from the photography alone, and that the fire insurance coverage does not extend to this part of the shore. The county permit file was searched and no shoreline permit was located for the interval in question. Absence of a permit record is not evidence that the work was unpermitted; it was agreed that the report will state what was searched and what was not found, in those terms, and will carry the interval as a data gap unless the interviews close it.</w:t>
      </w:r>
    </w:p>
    <w:p>
      <w:r>
        <w:t>The database results were reviewed by James Henderson before the session and were summarized by him at it. Several listings fall within the standard search radii. He observed that two of them are upgradient only if the gradient is assumed to follow surface topography, which on a tidal parcel is an assumption and not a finding, and he declined to characterize them further until the reconnaissance settles the question. One listing appeared with coordinates that place it in open water, which he flagged as a plotting error in the source rather than a condition, and he will confirm that with the vendor rather than carry it into a table unremarked.</w:t>
      </w:r>
    </w:p>
    <w:p>
      <w:r>
        <w:t>The first reconnaissance was completed and was described from the field record. The visit was made on a falling tide and the water edge was walked in full. Fill material was observed at the northern margin, exposed in a low bank, and was photographed and logged. Mary Foster noted that the exposure is tide-dependent and was not visible from the upland side at all, which is the reason the visit was scheduled the way it was. No staining, no drums, no aboveground or apparent underground storage tanks, and no distressed vegetation were observed on the property. She was careful at the table to separate what she saw from what an adjoining occupant told her about past use of the northern margin; the latter is in the notes as hearsay pending the formal interview.</w:t>
      </w:r>
    </w:p>
    <w:p>
      <w:r>
        <w:t>Michelle Roberts asked when a conclusion could be expected on the fill. The answer given was that a second visit and the owner and occupant interviews come first, and that if the origin and character of the fill cannot be established from those, the report will say that it could not be established and will state what that means for the inquiry. She asked whether that would satisfy a lender. It was explained that a stated data gap with a reasoned opinion on its significance is what the standard contemplates, and that the alternative, a confident call the record does not support, is the one that gets overturned later. She accepted the position and asked that the draft flag the point plainly rather than bury it. The second visit and the interview schedule were discussed; access is being arranged through Dyer and Sons and no dates were fixed at the session.</w:t>
      </w:r>
    </w:p>
    <w:p>
      <w:pPr>
        <w:pStyle w:val="Heading2"/>
      </w:pPr>
      <w:r>
        <w:t>Action Items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Item</w:t>
            </w:r>
          </w:p>
        </w:tc>
        <w:tc>
          <w:tcPr>
            <w:tcW w:type="dxa" w:w="2880"/>
          </w:tcPr>
          <w:p>
            <w:r>
              <w:rPr>
                <w:b/>
              </w:rPr>
              <w:t>Owner</w:t>
            </w:r>
          </w:p>
        </w:tc>
        <w:tc>
          <w:tcPr>
            <w:tcW w:type="dxa" w:w="2880"/>
          </w:tcPr>
          <w:p>
            <w:r>
              <w:rPr>
                <w:b/>
              </w:rPr>
              <w:t>Target</w:t>
            </w:r>
          </w:p>
        </w:tc>
      </w:tr>
      <w:tr>
        <w:tc>
          <w:tcPr>
            <w:tcW w:type="dxa" w:w="2880"/>
          </w:tcPr>
          <w:p>
            <w:r>
              <w:t>Confirm the plotting error on the open-water listing with the database vendor; log the response to the file</w:t>
            </w:r>
          </w:p>
        </w:tc>
        <w:tc>
          <w:tcPr>
            <w:tcW w:type="dxa" w:w="2880"/>
          </w:tcPr>
          <w:p>
            <w:r>
              <w:t>James Henderson</w:t>
            </w:r>
          </w:p>
        </w:tc>
        <w:tc>
          <w:tcPr>
            <w:tcW w:type="dxa" w:w="2880"/>
          </w:tcPr>
          <w:p>
            <w:r>
              <w:t>This week</w:t>
            </w:r>
          </w:p>
        </w:tc>
      </w:tr>
      <w:tr>
        <w:tc>
          <w:tcPr>
            <w:tcW w:type="dxa" w:w="2880"/>
          </w:tcPr>
          <w:p>
            <w:r>
              <w:t>Search the county file a second time under the prior owner name and under the parcel's earlier designation</w:t>
            </w:r>
          </w:p>
        </w:tc>
        <w:tc>
          <w:tcPr>
            <w:tcW w:type="dxa" w:w="2880"/>
          </w:tcPr>
          <w:p>
            <w:r>
              <w:t>John Sanchez</w:t>
            </w:r>
          </w:p>
        </w:tc>
        <w:tc>
          <w:tcPr>
            <w:tcW w:type="dxa" w:w="2880"/>
          </w:tcPr>
          <w:p>
            <w:r>
              <w:t>Before the second visit</w:t>
            </w:r>
          </w:p>
        </w:tc>
      </w:tr>
      <w:tr>
        <w:tc>
          <w:tcPr>
            <w:tcW w:type="dxa" w:w="2880"/>
          </w:tcPr>
          <w:p>
            <w:r>
              <w:t>Schedule the second reconnaissance on a falling tide; confirm the window against the tide table before it is promised</w:t>
            </w:r>
          </w:p>
        </w:tc>
        <w:tc>
          <w:tcPr>
            <w:tcW w:type="dxa" w:w="2880"/>
          </w:tcPr>
          <w:p>
            <w:r>
              <w:t>Mary Foster</w:t>
            </w:r>
          </w:p>
        </w:tc>
        <w:tc>
          <w:tcPr>
            <w:tcW w:type="dxa" w:w="2880"/>
          </w:tcPr>
          <w:p>
            <w:r>
              <w:t>Before the second visit</w:t>
            </w:r>
          </w:p>
        </w:tc>
      </w:tr>
      <w:tr>
        <w:tc>
          <w:tcPr>
            <w:tcW w:type="dxa" w:w="2880"/>
          </w:tcPr>
          <w:p>
            <w:r>
              <w:t>Draft interview questions for the owner and the adjoining occupant, focused on the fill interval</w:t>
            </w:r>
          </w:p>
        </w:tc>
        <w:tc>
          <w:tcPr>
            <w:tcW w:type="dxa" w:w="2880"/>
          </w:tcPr>
          <w:p>
            <w:r>
              <w:t>John Sanchez</w:t>
            </w:r>
          </w:p>
        </w:tc>
        <w:tc>
          <w:tcPr>
            <w:tcW w:type="dxa" w:w="2880"/>
          </w:tcPr>
          <w:p>
            <w:r>
              <w:t>Before the interviews</w:t>
            </w:r>
          </w:p>
        </w:tc>
      </w:tr>
      <w:tr>
        <w:tc>
          <w:tcPr>
            <w:tcW w:type="dxa" w:w="2880"/>
          </w:tcPr>
          <w:p>
            <w:r>
              <w:t>Arrange access and the interview introductions</w:t>
            </w:r>
          </w:p>
        </w:tc>
        <w:tc>
          <w:tcPr>
            <w:tcW w:type="dxa" w:w="2880"/>
          </w:tcPr>
          <w:p>
            <w:r>
              <w:t>Michelle Roberts</w:t>
            </w:r>
          </w:p>
        </w:tc>
        <w:tc>
          <w:tcPr>
            <w:tcW w:type="dxa" w:w="2880"/>
          </w:tcPr>
          <w:p>
            <w:r>
              <w:t>Two weeks</w:t>
            </w:r>
          </w:p>
        </w:tc>
      </w:tr>
      <w:tr>
        <w:tc>
          <w:tcPr>
            <w:tcW w:type="dxa" w:w="2880"/>
          </w:tcPr>
          <w:p>
            <w:r>
              <w:t>Reconcile the hearsay in the field notes against the formal interview record; keep the two distinct</w:t>
            </w:r>
          </w:p>
        </w:tc>
        <w:tc>
          <w:tcPr>
            <w:tcW w:type="dxa" w:w="2880"/>
          </w:tcPr>
          <w:p>
            <w:r>
              <w:t>Mary Foster</w:t>
            </w:r>
          </w:p>
        </w:tc>
        <w:tc>
          <w:tcPr>
            <w:tcW w:type="dxa" w:w="2880"/>
          </w:tcPr>
          <w:p>
            <w:r>
              <w:t>After the interviews</w:t>
            </w:r>
          </w:p>
        </w:tc>
      </w:tr>
    </w:tbl>
    <w:p>
      <w:r>
        <w:t>Corrections to these minutes should be sent to the chair within one week. Absent correction, they stand as the record of the session.</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3B3060"/>
        <w:sz w:val="28"/>
      </w:rPr>
      <w:t>Saltmarsh Environmental Partners LLC</w:t>
    </w:r>
  </w:p>
  <w:p>
    <w:r>
      <w:rPr>
        <w:sz w:val="18"/>
      </w:rPr>
      <w:t>www.saltmarshenv.com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Saltmarsh Environmental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Meeting Minutes: Phase I Site Assessment for Dyer and Sons</dc:title>
  <dc:subject/>
  <dc:creator>John Sanchez</dc:creator>
  <cp:keywords/>
  <dc:description>generated by python-docx</dc:description>
  <cp:lastModifiedBy>John Sanchez</cp:lastModifiedBy>
  <cp:revision>1</cp:revision>
  <dcterms:created xsi:type="dcterms:W3CDTF">2016-06-24T09:00:00Z</dcterms:created>
  <dcterms:modified xsi:type="dcterms:W3CDTF">2016-06-24T09:00:00Z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