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Sediment Sampling Program, Draft Report Review</w:t>
      </w:r>
    </w:p>
    <w:p>
      <w:r>
        <w:t>Minutes of a working session on the draft data report, Salazar-Mendoza program. Taken from the notebook and checked against it.</w:t>
      </w:r>
    </w:p>
    <w:p>
      <w:pPr>
        <w:pStyle w:val="Heading2"/>
      </w:pPr>
      <w:r>
        <w:t>Attendees</w:t>
      </w:r>
    </w:p>
    <w:p>
      <w:pPr>
        <w:pStyle w:val="ListBullet"/>
      </w:pPr>
      <w:r>
        <w:t>John Sanchez, Senior Scientist, Saltmarsh Environmental Partners LLC</w:t>
      </w:r>
    </w:p>
    <w:p>
      <w:pPr>
        <w:pStyle w:val="ListBullet"/>
      </w:pPr>
      <w:r>
        <w:t>Heather Morton, Field Technician, Saltmarsh Environmental Partners LLC (minutes)</w:t>
      </w:r>
    </w:p>
    <w:p>
      <w:pPr>
        <w:pStyle w:val="ListBullet"/>
      </w:pPr>
      <w:r>
        <w:t>Sandra Little, Director of Operations, Salazar-Mendoza</w:t>
      </w:r>
    </w:p>
    <w:p>
      <w:pPr>
        <w:pStyle w:val="Heading2"/>
      </w:pPr>
      <w:r>
        <w:t>Discussion</w:t>
      </w:r>
    </w:p>
    <w:p>
      <w:r>
        <w:t>Both field events are complete and the analytical data set is complete and validated. The draft data report was circulated in advance of this session and was walked through section by section. The purpose of the session was to take comments on the draft, not to reopen the scope.</w:t>
      </w:r>
    </w:p>
    <w:p>
      <w:r>
        <w:t>The station tables were reviewed first. Planned and occupied coordinates appear side by side for the two shifted outer flat stations and for the station reoccupied after the container rejection, with the reason for each departure carried in the table rather than in a footnote. Sandra Little asked whether the departures needed that much visibility in a document a reviewer would read years from now. John Sanchez said they did: a reviewer who finds a discrepancy between the plan and the data on his own will distrust everything else in the report, and a departure explained on the page costs a line and buys the rest of the document.</w:t>
      </w:r>
    </w:p>
    <w:p>
      <w:r>
        <w:t>The duplicate exceedance from the first event was discussed again in light of the complete data. The second event duplicates were within the plan's control limits for every analyte class, including the class that exceeded in the first event. The homogenization step was re-examined against the field notes and no deviation from the plan was found. The draft attributes the single exceedance to sediment heterogeneity at the station scale, qualifies both results, and states that a handling cause cannot be excluded on one duplicate. Sandra Little asked whether the hedge could be dropped now that the second event was clean. It could not, and John Sanchez said so: the second event does not tell us what happened at a different station in a different month, and the qualifier stays with the result wherever it appears.</w:t>
      </w:r>
    </w:p>
    <w:p>
      <w:r>
        <w:t>Comparison against screening criteria was reviewed as drafted. The comparison is presented per station and per analyte, without aggregation across stations, and the draft states in the text that conditions between and below stations are inferred rather than observed. Sandra Little noted that her board will want a summary sentence. The draft's summary language was read aloud and she accepted it as written.</w:t>
      </w:r>
    </w:p>
    <w:p>
      <w:r>
        <w:t>Comments on the draft were otherwise editorial: figure legibility at the frontage scale, one mislabeled cross-reference, and consistent use of the station identifiers between the tables and the figures. Sandra Little will send written comments so that they can be logged and dispositioned individually rather than absorbed in conversation. The revised draft goes to Angela Flynn before it goes back out; she reads every deliverable and checks the table totals herself, and comments returned late will wait for that pass rather than skip it.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Timing</w:t>
            </w:r>
          </w:p>
        </w:tc>
      </w:tr>
      <w:tr>
        <w:tc>
          <w:tcPr>
            <w:tcW w:type="dxa" w:w="2880"/>
          </w:tcPr>
          <w:p>
            <w:r>
              <w:t>Send written comments on the draft data report</w:t>
            </w:r>
          </w:p>
        </w:tc>
        <w:tc>
          <w:tcPr>
            <w:tcW w:type="dxa" w:w="2880"/>
          </w:tcPr>
          <w:p>
            <w:r>
              <w:t>Sandra Little</w:t>
            </w:r>
          </w:p>
        </w:tc>
        <w:tc>
          <w:tcPr>
            <w:tcW w:type="dxa" w:w="2880"/>
          </w:tcPr>
          <w:p>
            <w:r>
              <w:t>Within two weeks</w:t>
            </w:r>
          </w:p>
        </w:tc>
      </w:tr>
      <w:tr>
        <w:tc>
          <w:tcPr>
            <w:tcW w:type="dxa" w:w="2880"/>
          </w:tcPr>
          <w:p>
            <w:r>
              <w:t>Log and disposition each comment with a written response</w:t>
            </w:r>
          </w:p>
        </w:tc>
        <w:tc>
          <w:tcPr>
            <w:tcW w:type="dxa" w:w="2880"/>
          </w:tcPr>
          <w:p>
            <w:r>
              <w:t>John Sanchez</w:t>
            </w:r>
          </w:p>
        </w:tc>
        <w:tc>
          <w:tcPr>
            <w:tcW w:type="dxa" w:w="2880"/>
          </w:tcPr>
          <w:p>
            <w:r>
              <w:t>On receipt of comments</w:t>
            </w:r>
          </w:p>
        </w:tc>
      </w:tr>
      <w:tr>
        <w:tc>
          <w:tcPr>
            <w:tcW w:type="dxa" w:w="2880"/>
          </w:tcPr>
          <w:p>
            <w:r>
              <w:t>Redraw the frontage figures for legibility at the printed scale</w:t>
            </w:r>
          </w:p>
        </w:tc>
        <w:tc>
          <w:tcPr>
            <w:tcW w:type="dxa" w:w="2880"/>
          </w:tcPr>
          <w:p>
            <w:r>
              <w:t>Heather Morton</w:t>
            </w:r>
          </w:p>
        </w:tc>
        <w:tc>
          <w:tcPr>
            <w:tcW w:type="dxa" w:w="2880"/>
          </w:tcPr>
          <w:p>
            <w:r>
              <w:t>With the revision</w:t>
            </w:r>
          </w:p>
        </w:tc>
      </w:tr>
      <w:tr>
        <w:tc>
          <w:tcPr>
            <w:tcW w:type="dxa" w:w="2880"/>
          </w:tcPr>
          <w:p>
            <w:r>
              <w:t>Reconcile station identifiers across tables and figures and fix the mislabeled cross-reference</w:t>
            </w:r>
          </w:p>
        </w:tc>
        <w:tc>
          <w:tcPr>
            <w:tcW w:type="dxa" w:w="2880"/>
          </w:tcPr>
          <w:p>
            <w:r>
              <w:t>Heather Morton</w:t>
            </w:r>
          </w:p>
        </w:tc>
        <w:tc>
          <w:tcPr>
            <w:tcW w:type="dxa" w:w="2880"/>
          </w:tcPr>
          <w:p>
            <w:r>
              <w:t>With the revision</w:t>
            </w:r>
          </w:p>
        </w:tc>
      </w:tr>
      <w:tr>
        <w:tc>
          <w:tcPr>
            <w:tcW w:type="dxa" w:w="2880"/>
          </w:tcPr>
          <w:p>
            <w:r>
              <w:t>Revised draft to Angela Flynn for review before it goes back to the client</w:t>
            </w:r>
          </w:p>
        </w:tc>
        <w:tc>
          <w:tcPr>
            <w:tcW w:type="dxa" w:w="2880"/>
          </w:tcPr>
          <w:p>
            <w:r>
              <w:t>John Sanchez</w:t>
            </w:r>
          </w:p>
        </w:tc>
        <w:tc>
          <w:tcPr>
            <w:tcW w:type="dxa" w:w="2880"/>
          </w:tcPr>
          <w:p>
            <w:r>
              <w:t>Before reissue</w:t>
            </w:r>
          </w:p>
        </w:tc>
      </w:tr>
      <w:tr>
        <w:tc>
          <w:tcPr>
            <w:tcW w:type="dxa" w:w="2880"/>
          </w:tcPr>
          <w:p>
            <w:r>
              <w:t>Assemble the field records and validated data packages for the project file</w:t>
            </w:r>
          </w:p>
        </w:tc>
        <w:tc>
          <w:tcPr>
            <w:tcW w:type="dxa" w:w="2880"/>
          </w:tcPr>
          <w:p>
            <w:r>
              <w:t>Heather Morton</w:t>
            </w:r>
          </w:p>
        </w:tc>
        <w:tc>
          <w:tcPr>
            <w:tcW w:type="dxa" w:w="2880"/>
          </w:tcPr>
          <w:p>
            <w:r>
              <w:t>With the final report</w:t>
            </w:r>
          </w:p>
        </w:tc>
      </w:tr>
    </w:tbl>
    <w:p>
      <w:r>
        <w:t>No change to scope or fee arises from this session. Corrections to these minutes should come to Heather Morton and will be issued as a marked revision.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Sediment Sampling Program for Salazar-Mendoza</dc:title>
  <dc:subject/>
  <dc:creator>Heather Morton</dc:creator>
  <cp:keywords/>
  <dc:description>generated by python-docx</dc:description>
  <cp:lastModifiedBy>Heather Morton</cp:lastModifiedBy>
  <cp:revision>1</cp:revision>
  <dcterms:created xsi:type="dcterms:W3CDTF">2019-01-18T09:00:00Z</dcterms:created>
  <dcterms:modified xsi:type="dcterms:W3CDTF">2019-01-18T09:00:00Z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