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Stormwater Permit Support</w:t>
      </w:r>
    </w:p>
    <w:p>
      <w:r>
        <w:t>Prepared for: Solis, Allen and Oconnell</w:t>
        <w:br/>
        <w:t>Prepared by: Heather Morton, Field Technician</w:t>
        <w:br/>
        <w:t>Reviewed by: Managing Principal, prior to issue</w:t>
      </w:r>
    </w:p>
    <w:p>
      <w:pPr>
        <w:pStyle w:val="Heading2"/>
      </w:pPr>
      <w:r>
        <w:t>Status Summary</w:t>
      </w:r>
    </w:p>
    <w:p>
      <w:r>
        <w:t>The work for Solis, Allen and Oconnell is at roughly its midpoint and is on scope. The site characterization is complete, the outfall inventory is fixed, and the Stormwater Pollution Prevention Plan is in draft and in review. One item is behind: the first sampling round has not been collected, because the qualifying rain event it requires has not occurred. That is not a delay we can work around by effort, and it is described under Risks below rather than buried here.</w:t>
      </w:r>
    </w:p>
    <w:p>
      <w:r>
        <w:t>Against the fixed fee of $110,500, invoiced and committed costs stand at slightly under half, which tracks the work completed. The uncollected sampling round carries laboratory charges that have not yet been incurred. We do not expect to exceed the fee on the scope as written.</w:t>
      </w:r>
    </w:p>
    <w:p>
      <w:pPr>
        <w:pStyle w:val="Heading2"/>
      </w:pPr>
      <w:r>
        <w:t>Accomplishments This Period</w:t>
      </w:r>
    </w:p>
    <w:p>
      <w:r>
        <w:t>The drainage area was walked in full, twice, once in dry conditions and once during runoff. Every discharge point was located, photographed from a fixed position, and tied to the drainage sheet. The inventory came out one outfall larger than the drawings show: an unmapped discharge point at the northeast corner of the yard, downgradient of the equipment wash area. Your operations staff are checking its origin. It is in the inventory and in the plan either way, since what governs is what is on the ground.</w:t>
      </w:r>
    </w:p>
    <w:p>
      <w:r>
        <w:t>The pollutant source assessment is complete. Each material and activity exposed to precipitation has been traced to the inlet that receives its runoff, and where a path could not be traced with confidence, the assessment says so rather than assuming one. Joseph Nichols assembled the site map and the source tables and has revised both to carry the additional outfall and its drainage area.</w:t>
      </w:r>
    </w:p>
    <w:p>
      <w:r>
        <w:t>The plan itself is drafted: site map, source assessment, control measures assigned to each source, inspection schedule, monitoring schedule. It is with the Managing Principal for review. Material inventories and safety data sheets have been received from your staff and are reflected in the source tables. Sampling containers are staged on site with preservatives current, the laboratory subcontract is in place, and hold times are confirmed in writing. The Notice of Intent and its attachments are drafted to the point where they can be completed once the plan is final.</w:t>
      </w:r>
    </w:p>
    <w:p>
      <w:pPr>
        <w:pStyle w:val="Heading2"/>
      </w:pPr>
      <w:r>
        <w:t>Upcoming Work</w:t>
      </w:r>
    </w:p>
    <w:p>
      <w:r>
        <w:t>Principal review of the draft plan will be returned to us and the plan will then come to you for review. We ask for comments consolidated through a single point on your side. The first sampling round will be collected on the next qualifying event, and we will call ahead rather than arrive unannounced, though the notice will be short by the nature of the trigger. Laboratory turnaround follows collection; the data summary follows the reports. Operator training is scheduled after the first round so that the staff who will perform the routine visual assessments have watched one done properly. The Notice of Intent goes in after the plan is final and the first round is in hand.</w:t>
      </w:r>
    </w:p>
    <w:p>
      <w:pPr>
        <w:pStyle w:val="Heading2"/>
      </w:pPr>
      <w:r>
        <w:t>Risks</w:t>
      </w:r>
    </w:p>
    <w:p>
      <w:r>
        <w:t>Weather is the schedule. Two events this period did not qualify, one on duration and one on antecedent dry period. We will not sample a non-qualifying event to make a schedule, because the result would not be usable and would sit in the file for years being wrong. If the dry stretch continues, the submittal moves, and we would rather tell you that now than explain it later.</w:t>
      </w:r>
    </w:p>
    <w:p>
      <w:r>
        <w:t>The northeast outfall is a live question. If it was cut in during the paving work without a record, the plan will need to account for a discharge point that has been operating undocumented, and that is a conversation worth having before the submittal rather than after. Spill records for the site have been requested and not yet received. If none exist, we need that in writing so the plan can say so plainly. An absence of records is a defensible thing to state; an unexplained gap is not.</w:t>
      </w:r>
    </w:p>
    <w:p>
      <w:r>
        <w:t>Two smaller items. Laboratory turnaround is outside our control and sits between collection and the data summary, so a late-breaking storm compresses everything downstream of it. And the agency's completeness review, if one is issued, will ask for whatever it asks for on its own timetable. Our engagement letter said we cannot warrant that schedule and we still cannot. Neither item is a problem today. Both are reasons the back half of this work has less slack in it than the front half did.</w:t>
      </w:r>
    </w:p>
    <w:p>
      <w:r>
        <w:t>Finally, a scope note. The wash area is the source that drives this plan. If your operations decide to relocate it under cover, that is a sensible thing to consider, and it changes the source assessment and possibly the monitoring. It is not within the scope of this engagement to design that, and a decision to do it partway through would mean revisiting work already drafted. We are not recommending against it. We are saying it should be decided deliberately and soon, or not during this engagement at all.</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Stormwater Permit Support for Solis, Allen and Oconnell</dc:title>
  <dc:subject/>
  <dc:creator>Heather Morton</dc:creator>
  <cp:keywords/>
  <dc:description>generated by python-docx</dc:description>
  <cp:lastModifiedBy>Heather Morton</cp:lastModifiedBy>
  <cp:revision>1</cp:revision>
  <dcterms:created xsi:type="dcterms:W3CDTF">2021-05-22T09:00:00Z</dcterms:created>
  <dcterms:modified xsi:type="dcterms:W3CDTF">2021-05-22T09:00:00Z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