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Saltmarsh Environmental Partners LLC</w:t>
      </w:r>
    </w:p>
    <w:p>
      <w:pPr>
        <w:pStyle w:val="Heading2"/>
      </w:pPr>
      <w:r>
        <w:t>Firm Overview</w:t>
      </w:r>
    </w:p>
    <w:p>
      <w:r>
        <w:t>We are an environmental consultancy on a tidal estuary. The work starts where a line has to be drawn on the ground and somebody at an agency has to accept it, and it does not end there: assessments, sampling, and the long tail of monitoring that a restoration permit attaches to a project after everyone has stopped thinking about it. The firm has stayed small, which is a decision rather than a circumstance. The people who go into the field write the reports, and every report is read before it goes out. What we sell is not volume. It is a record that holds up when somebody comes back to it cold.</w:t>
      </w:r>
    </w:p>
    <w:p>
      <w:pPr>
        <w:pStyle w:val="Heading2"/>
      </w:pPr>
      <w:r>
        <w:t>Delineation and permitting support</w:t>
      </w:r>
    </w:p>
    <w:p>
      <w:r>
        <w:t>A wetland boundary determined in the field by the accepted method, flagged, documented, and defensible to the reviewer who has to sign off on it. For a landowner the delineation is a gate: it decides what can be built and where. We treat it accordingly. The line is where the indicators put it, and we will explain to a client at length why we cannot put it somewhere more convenient. Where a determination is genuinely close, the report says it is close and says what would settle it. That candor costs a client nothing at the permitting stage and saves a great deal later, when a line drawn optimistically has to be defended by somebody who was not there.</w:t>
      </w:r>
    </w:p>
    <w:p>
      <w:pPr>
        <w:pStyle w:val="Heading2"/>
      </w:pPr>
      <w:r>
        <w:t>Site assessment</w:t>
      </w:r>
    </w:p>
    <w:p>
      <w:r>
        <w:t>Phase I work, done from the record: use history, aerials, agency files, and interviews with people who were there. The finding leads with the source and follows with the limitation. Where the available record does not support a determination, we say that plainly, because a Phase I that reaches for a conclusion the file will not bear is worse than no Phase I at all.</w:t>
      </w:r>
    </w:p>
    <w:p>
      <w:pPr>
        <w:pStyle w:val="Heading2"/>
      </w:pPr>
      <w:r>
        <w:t>Sampling programs</w:t>
      </w:r>
    </w:p>
    <w:p>
      <w:r>
        <w:t>Sediment and water sampling designed around the question being asked. Chain of custody is not paperwork here; it is the part of the job most likely to sink a project, and it is treated as such. Results are reported with the laboratory's qualifiers attached. A suspect result gets flagged and explained rather than quietly averaged into a table, and where data is not usable we say so in the report and account for how we know.</w:t>
      </w:r>
    </w:p>
    <w:p>
      <w:pPr>
        <w:pStyle w:val="Heading2"/>
      </w:pPr>
      <w:r>
        <w:t>Monitoring</w:t>
      </w:r>
    </w:p>
    <w:p>
      <w:r>
        <w:t>Plots and transects revisited on the schedule the permit sets, measured the same way each season, transcribed against the notebook and not against memory. The value of a monitoring record is entirely in its consistency, which means the discipline is unglamorous and unbroken: the same points, the same method, the same care in year six as in year one, so that a reviewer can compare across years without having to take our word for anything.</w:t>
      </w:r>
    </w:p>
    <w:p>
      <w:pPr>
        <w:pStyle w:val="Heading2"/>
      </w:pPr>
      <w:r>
        <w:t>Representative work</w:t>
      </w:r>
    </w:p>
    <w:p>
      <w:r>
        <w:t>Work for Dyer and Sons and for Dyer and Sons is representative of what we do and of how we do it: a scope agreed in writing and countersigned before anyone mobilizes, field days planned around tides rather than calendars, a data record built to be checked, and reporting that stays inside what was measured. References available, within what each client permits us to say.</w:t>
      </w:r>
    </w:p>
    <w:p>
      <w:pPr>
        <w:pStyle w:val="Heading2"/>
      </w:pPr>
      <w:r>
        <w:t>How we write</w:t>
      </w:r>
    </w:p>
    <w:p>
      <w:r>
        <w:t>Every deliverable has a second reader, and the second reader is the one who matters most to the client's interests in the long run: an agency reviewer opening the file years later with no memory of the site or the season. Such a reader wants to know what was measured, where, on what date, and by whom, and is unmoved by adjectives. So our reports say what was done and what the data supports, and they hedge where the data hedges. Angela Flynn, Managing Principal, reads everything before it leaves the office. Nothing goes out with a number in it that has not been traced back to where it came from.</w:t>
      </w:r>
    </w:p>
    <w:p>
      <w:pPr>
        <w:pStyle w:val="Heading2"/>
      </w:pPr>
      <w:r>
        <w:t>Working with the firm</w:t>
      </w:r>
    </w:p>
    <w:p>
      <w:r>
        <w:t>Scopes go out as letters, with the assumptions stated and the exclusions stated more plainly still, and we ask for them countersigned before we mobilize. When conditions on an estuary fail to match the assumptions, which is regularly, we say so at the time and in writing rather than at the end and in an invoice. The person who answers the telephone about a project is a person who has stood on it, and can tell you what the weather was doing at the time.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Angela Flynn</dc:creator>
  <cp:keywords/>
  <dc:description>generated by python-docx</dc:description>
  <cp:lastModifiedBy>Angela Flynn</cp:lastModifiedBy>
  <cp:revision>1</cp:revision>
  <dcterms:created xsi:type="dcterms:W3CDTF">2018-06-23T09:00:00Z</dcterms:created>
  <dcterms:modified xsi:type="dcterms:W3CDTF">2018-06-23T09:00:00Z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