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Mary Foster</w:t>
      </w:r>
    </w:p>
    <w:p>
      <w:r>
        <w:t>For the file. Mary Foster joins us as a Field Technician in the consulting group. We hired her for field work and that is where she will be: delineations, sampling support, and the monitoring plots a permit obliges us to keep visiting long after everyone else involved has moved on to something else. She has done this work before and does not need to be told which end of the auger goes in the ground, so the first period set out below is short and mostly concerns how we do things here rather than how the work is done.</w:t>
      </w:r>
    </w:p>
    <w:p>
      <w:r>
        <w:t>Where she sits. Mary works to me. Day to day she takes her assignments from whoever is leading the engagement she has been put on, and those assignments are settled the week before, not the night before. If the two directions conflict, mine is the tiebreaker, and I would rather hear about the conflict the day it happens than come across it in a deliverable a month later. We are small enough that this arrangement works without anything written down beyond this record. When it stops working, we will change it and say so.</w:t>
      </w:r>
    </w:p>
    <w:p>
      <w:r>
        <w:t>First period. Boots, waders, and the rest of the personal equipment are ours to supply; ask for them before the first field day rather than on the morning of it. The health and safety orientation comes before any site visit, without exception. Nobody works a tidal site alone, and nobody stays out to finish a plot on a rising tide. Mary will be issued a field notebook and is expected to fill it: date, conditions, tide state, who was present, what was measured, and what went wrong. Data sheets get transcribed the same week and checked against the notebook, not against memory, because memory of a wet morning in a marsh is worth very little by the following month. Time is coded to the engagement and turned in weekly.</w:t>
      </w:r>
    </w:p>
    <w:p>
      <w:r>
        <w:t>What I expect. Write it down while it is still in front of you. Keep what you observed separate from what you were told; if a landowner says the ditch has been there since his father's time, that is what the landowner says, and the notebook should make the difference plain on the page. Flag a reading that looks wrong instead of correcting it quietly, because the odd number is the one somebody asks about two years on, and by then the only answer we have is what was written at the time. Nothing leaves this office with a figure in it that has not been checked. That applies to her work the way it applies to mine.</w:t>
      </w:r>
    </w:p>
    <w:p>
      <w:r>
        <w:t>Angela Flynn, Managing Principal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Mary Foster</dc:title>
  <dc:subject/>
  <dc:creator>Angela Flynn</dc:creator>
  <cp:keywords/>
  <dc:description>generated by python-docx</dc:description>
  <cp:lastModifiedBy>Angela Flynn</cp:lastModifiedBy>
  <cp:revision>1</cp:revision>
  <dcterms:created xsi:type="dcterms:W3CDTF">2014-12-04T09:00:00Z</dcterms:created>
  <dcterms:modified xsi:type="dcterms:W3CDTF">2014-12-04T09:00:00Z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